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83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  <w:gridCol w:w="4536"/>
      </w:tblGrid>
      <w:tr w:rsidR="00523D82" w:rsidRPr="00E16FAD" w14:paraId="316E8EF6" w14:textId="77777777" w:rsidTr="007E1D85">
        <w:tc>
          <w:tcPr>
            <w:tcW w:w="5211" w:type="dxa"/>
            <w:hideMark/>
          </w:tcPr>
          <w:p w14:paraId="0E47C30C" w14:textId="77777777" w:rsidR="007E1D85" w:rsidRPr="00E16FAD" w:rsidRDefault="007E1D85" w:rsidP="00295D0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val="kk-KZ" w:eastAsia="ru-RU"/>
              </w:rPr>
            </w:pPr>
          </w:p>
        </w:tc>
        <w:tc>
          <w:tcPr>
            <w:tcW w:w="4536" w:type="dxa"/>
            <w:hideMark/>
          </w:tcPr>
          <w:p w14:paraId="72125FC0" w14:textId="77777777" w:rsidR="00146D68" w:rsidRPr="00E16FAD" w:rsidRDefault="00146D68" w:rsidP="00295D0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>УТВЕРЖДЕНА</w:t>
            </w:r>
          </w:p>
          <w:p w14:paraId="45F03206" w14:textId="77777777" w:rsidR="00146D68" w:rsidRPr="00E16FAD" w:rsidRDefault="00146D68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Председателя</w:t>
            </w:r>
          </w:p>
          <w:p w14:paraId="2ABBF1F6" w14:textId="7BE75972" w:rsidR="00146D68" w:rsidRPr="00E16FAD" w:rsidRDefault="00146D68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РГУ «Комитет </w:t>
            </w:r>
            <w:proofErr w:type="gramStart"/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медицинского</w:t>
            </w:r>
            <w:proofErr w:type="gramEnd"/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</w:p>
          <w:p w14:paraId="073E45C9" w14:textId="0EE12177" w:rsidR="00146D68" w:rsidRPr="00E16FAD" w:rsidRDefault="00295D0C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фармацевтического контроля</w:t>
            </w:r>
          </w:p>
          <w:p w14:paraId="7B07D435" w14:textId="77777777" w:rsidR="00146D68" w:rsidRPr="00E16FAD" w:rsidRDefault="00146D68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Министерства здравоохранения</w:t>
            </w:r>
          </w:p>
          <w:p w14:paraId="7664EB30" w14:textId="7129A69E" w:rsidR="00146D68" w:rsidRPr="00E16FAD" w:rsidRDefault="00146D68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Республики Казахстан</w:t>
            </w:r>
            <w:r w:rsidR="00295D0C"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189F8D0C" w14:textId="77777777" w:rsidR="00146D68" w:rsidRPr="00E16FAD" w:rsidRDefault="00146D68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«____»____________20__г.</w:t>
            </w:r>
          </w:p>
          <w:p w14:paraId="3BF2BB88" w14:textId="77777777" w:rsidR="00523D82" w:rsidRPr="00E16FAD" w:rsidRDefault="00146D68" w:rsidP="00295D0C">
            <w:pPr>
              <w:widowControl w:val="0"/>
              <w:spacing w:after="0" w:line="240" w:lineRule="auto"/>
              <w:rPr>
                <w:rFonts w:ascii="Times New Roman" w:eastAsia="Batang" w:hAnsi="Times New Roman"/>
                <w:snapToGrid w:val="0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>№ ______________</w:t>
            </w:r>
          </w:p>
        </w:tc>
        <w:tc>
          <w:tcPr>
            <w:tcW w:w="4536" w:type="dxa"/>
          </w:tcPr>
          <w:p w14:paraId="6A1136C2" w14:textId="77777777" w:rsidR="00523D82" w:rsidRPr="00E16FAD" w:rsidRDefault="00D46B0B" w:rsidP="00295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b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23D82" w:rsidRPr="00E16FAD" w14:paraId="1AD0DA94" w14:textId="77777777" w:rsidTr="007E1D85">
        <w:tc>
          <w:tcPr>
            <w:tcW w:w="5211" w:type="dxa"/>
          </w:tcPr>
          <w:p w14:paraId="796F4F14" w14:textId="77777777" w:rsidR="00523D82" w:rsidRPr="00E16FAD" w:rsidRDefault="00523D82" w:rsidP="00295D0C">
            <w:pPr>
              <w:widowControl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E3998B1" w14:textId="77777777" w:rsidR="00523D82" w:rsidRPr="00E16FAD" w:rsidRDefault="00523D82" w:rsidP="00295D0C">
            <w:pPr>
              <w:autoSpaceDE w:val="0"/>
              <w:autoSpaceDN w:val="0"/>
              <w:spacing w:after="0" w:line="240" w:lineRule="auto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42A3A3D4" w14:textId="77777777" w:rsidR="00523D82" w:rsidRPr="00E16FAD" w:rsidRDefault="00523D82" w:rsidP="00295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</w:tr>
    </w:tbl>
    <w:p w14:paraId="786BDB86" w14:textId="77777777" w:rsidR="00D76048" w:rsidRPr="00E16FAD" w:rsidRDefault="00D76048" w:rsidP="00295D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55549454"/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Инструкция по медицинскому применению</w:t>
      </w:r>
    </w:p>
    <w:p w14:paraId="5CD1986B" w14:textId="77777777" w:rsidR="00D76048" w:rsidRPr="00E16FAD" w:rsidRDefault="00D76048" w:rsidP="00295D0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лекарственного </w:t>
      </w:r>
      <w:r w:rsidR="007D0E84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препарата</w:t>
      </w:r>
      <w:r w:rsidR="00AE7922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="002C1660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 w:rsidR="00AE7922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исток-вкладыш)</w:t>
      </w:r>
    </w:p>
    <w:bookmarkEnd w:id="0"/>
    <w:p w14:paraId="6FD11AB5" w14:textId="77777777" w:rsidR="002C76D7" w:rsidRPr="00E16FAD" w:rsidRDefault="002C76D7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3FA89CA" w14:textId="77777777" w:rsidR="002C76D7" w:rsidRPr="00E16FAD" w:rsidRDefault="00D76048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Торговое </w:t>
      </w:r>
      <w:r w:rsidR="00E55D6C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</w:t>
      </w:r>
      <w:r w:rsidR="00AE7922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7D84E3EB" w14:textId="77777777" w:rsidR="002C76D7" w:rsidRPr="00E16FAD" w:rsidRDefault="005F4C46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spell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Метофил</w:t>
      </w:r>
      <w:proofErr w:type="spellEnd"/>
    </w:p>
    <w:p w14:paraId="6E28B0E5" w14:textId="77777777" w:rsidR="005F4C46" w:rsidRPr="00E16FAD" w:rsidRDefault="005F4C46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A172B37" w14:textId="77777777" w:rsidR="002C76D7" w:rsidRPr="00E16FAD" w:rsidRDefault="00AE7922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Международное непатентованное название</w:t>
      </w:r>
    </w:p>
    <w:p w14:paraId="55E1B7B8" w14:textId="77777777" w:rsidR="002C76D7" w:rsidRPr="00E16FAD" w:rsidRDefault="005F4C46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Метотрексат</w:t>
      </w:r>
    </w:p>
    <w:p w14:paraId="4F51E669" w14:textId="77777777" w:rsidR="005F4C46" w:rsidRPr="00E16FAD" w:rsidRDefault="005F4C46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4011873" w14:textId="67B8C0C6" w:rsidR="00D76048" w:rsidRPr="00E16FAD" w:rsidRDefault="002C76D7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Лекарственная форма, </w:t>
      </w:r>
      <w:r w:rsidR="00295D0C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дозировка </w:t>
      </w:r>
    </w:p>
    <w:p w14:paraId="0913A023" w14:textId="77777777" w:rsidR="00B01011" w:rsidRPr="00E16FAD" w:rsidRDefault="005F4C46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Раствор для инъекций, 50 мг/мл</w:t>
      </w:r>
    </w:p>
    <w:p w14:paraId="50F32692" w14:textId="77777777" w:rsidR="005F4C46" w:rsidRPr="00E16FAD" w:rsidRDefault="005F4C46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7C41F5" w14:textId="77777777" w:rsidR="00295D0C" w:rsidRPr="00E16FAD" w:rsidRDefault="00AE7922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bookmarkStart w:id="1" w:name="OCRUncertain022"/>
      <w:r w:rsidRPr="00E16FA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Фармакотерапевтическая</w:t>
      </w:r>
      <w:bookmarkEnd w:id="1"/>
      <w:r w:rsidRPr="00E16FA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группа</w:t>
      </w:r>
      <w:r w:rsidR="002C1660" w:rsidRPr="00E16FAD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 </w:t>
      </w:r>
    </w:p>
    <w:p w14:paraId="2649FD67" w14:textId="705D380F" w:rsidR="00295D0C" w:rsidRPr="00E16FAD" w:rsidRDefault="00145AD2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Антинеопластические</w:t>
      </w:r>
      <w:proofErr w:type="spellEnd"/>
      <w:r w:rsidR="00A92BDA" w:rsidRPr="00E16FAD">
        <w:rPr>
          <w:rFonts w:ascii="Times New Roman" w:hAnsi="Times New Roman"/>
          <w:color w:val="000000"/>
          <w:sz w:val="28"/>
          <w:szCs w:val="28"/>
        </w:rPr>
        <w:t xml:space="preserve"> и иммуномодулирующие средства. </w:t>
      </w:r>
      <w:proofErr w:type="spellStart"/>
      <w:r w:rsidR="00A92BDA" w:rsidRPr="00E16FAD">
        <w:rPr>
          <w:rFonts w:ascii="Times New Roman" w:hAnsi="Times New Roman"/>
          <w:color w:val="000000"/>
          <w:sz w:val="28"/>
          <w:szCs w:val="28"/>
        </w:rPr>
        <w:t>Иммуно</w:t>
      </w:r>
      <w:r w:rsidR="00295D0C" w:rsidRPr="00E16FAD">
        <w:rPr>
          <w:rFonts w:ascii="Times New Roman" w:hAnsi="Times New Roman"/>
          <w:color w:val="000000"/>
          <w:sz w:val="28"/>
          <w:szCs w:val="28"/>
        </w:rPr>
        <w:t>супрессанты</w:t>
      </w:r>
      <w:proofErr w:type="spellEnd"/>
      <w:r w:rsidR="00A92BDA" w:rsidRPr="00E16F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A92BDA" w:rsidRPr="00E16FAD">
        <w:rPr>
          <w:rFonts w:ascii="Times New Roman" w:hAnsi="Times New Roman"/>
          <w:color w:val="000000"/>
          <w:sz w:val="28"/>
          <w:szCs w:val="28"/>
        </w:rPr>
        <w:t>Иммуно</w:t>
      </w:r>
      <w:r w:rsidR="00295D0C" w:rsidRPr="00E16FAD">
        <w:rPr>
          <w:rFonts w:ascii="Times New Roman" w:hAnsi="Times New Roman"/>
          <w:color w:val="000000"/>
          <w:sz w:val="28"/>
          <w:szCs w:val="28"/>
        </w:rPr>
        <w:t>супрессанты</w:t>
      </w:r>
      <w:proofErr w:type="spellEnd"/>
      <w:r w:rsidR="00295D0C" w:rsidRPr="00E16FAD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A92BDA" w:rsidRPr="00E16FAD">
        <w:rPr>
          <w:rFonts w:ascii="Times New Roman" w:hAnsi="Times New Roman"/>
          <w:color w:val="000000"/>
          <w:sz w:val="28"/>
          <w:szCs w:val="28"/>
        </w:rPr>
        <w:t xml:space="preserve">ругие. </w:t>
      </w:r>
      <w:bookmarkStart w:id="2" w:name="_Hlk55547211"/>
      <w:r w:rsidR="00A92BDA" w:rsidRPr="00E16FAD">
        <w:rPr>
          <w:rFonts w:ascii="Times New Roman" w:hAnsi="Times New Roman"/>
          <w:color w:val="000000"/>
          <w:sz w:val="28"/>
          <w:szCs w:val="28"/>
        </w:rPr>
        <w:t>Метотрексат.</w:t>
      </w:r>
    </w:p>
    <w:p w14:paraId="0F820622" w14:textId="77777777" w:rsidR="00295D0C" w:rsidRPr="00E16FAD" w:rsidRDefault="00295D0C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Код АТХ</w:t>
      </w:r>
      <w:r w:rsidR="00D83BC4" w:rsidRPr="00E16FAD">
        <w:rPr>
          <w:rFonts w:ascii="Times New Roman" w:hAnsi="Times New Roman"/>
          <w:color w:val="000000"/>
          <w:sz w:val="28"/>
          <w:szCs w:val="28"/>
        </w:rPr>
        <w:t xml:space="preserve"> L</w:t>
      </w:r>
      <w:bookmarkEnd w:id="2"/>
      <w:r w:rsidR="00A92BDA" w:rsidRPr="00E16FAD">
        <w:rPr>
          <w:rFonts w:ascii="Times New Roman" w:hAnsi="Times New Roman"/>
          <w:color w:val="000000"/>
          <w:sz w:val="28"/>
          <w:szCs w:val="28"/>
          <w:lang w:val="en-US"/>
        </w:rPr>
        <w:t>04AX03</w:t>
      </w:r>
    </w:p>
    <w:p w14:paraId="38C31D47" w14:textId="77777777" w:rsidR="00295D0C" w:rsidRPr="00E16FAD" w:rsidRDefault="00295D0C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</w:p>
    <w:p w14:paraId="049CB413" w14:textId="0A31EFA4" w:rsidR="002C76D7" w:rsidRPr="00E16FAD" w:rsidRDefault="005444B2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napToGrid w:val="0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Показания к применению</w:t>
      </w:r>
      <w:r w:rsidR="002C76D7"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AB4DEEC" w14:textId="77777777" w:rsidR="00D83BC4" w:rsidRPr="00E16FAD" w:rsidRDefault="00D83BC4" w:rsidP="00295D0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активный ревматоидный артрит у взрослых пациентов</w:t>
      </w:r>
    </w:p>
    <w:p w14:paraId="57D8C90B" w14:textId="77777777" w:rsidR="00D83BC4" w:rsidRPr="00E16FAD" w:rsidRDefault="00D83BC4" w:rsidP="00295D0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полиартрит у пациентов с тяжелым ювенильным идиопатическим артритом в активной форме при недостаточной эффективности нестероидных противовоспалительных препаратов (НПВП)</w:t>
      </w:r>
    </w:p>
    <w:p w14:paraId="32A58583" w14:textId="18E79B72" w:rsidR="00D83BC4" w:rsidRPr="00E16FAD" w:rsidRDefault="00D83BC4" w:rsidP="00295D0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тяжелые, не поддающиеся лечению, </w:t>
      </w:r>
      <w:proofErr w:type="spellStart"/>
      <w:r w:rsidRPr="00E16FAD">
        <w:rPr>
          <w:rFonts w:ascii="Times New Roman" w:hAnsi="Times New Roman"/>
          <w:sz w:val="28"/>
          <w:szCs w:val="28"/>
        </w:rPr>
        <w:t>инвалидизирующие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формы псориаза, резистентные к другой терапии (в т.ч. к фототерапии, </w:t>
      </w:r>
      <w:proofErr w:type="spellStart"/>
      <w:r w:rsidR="00816D90" w:rsidRPr="00E16FAD">
        <w:rPr>
          <w:rFonts w:ascii="Times New Roman" w:hAnsi="Times New Roman"/>
          <w:sz w:val="28"/>
          <w:szCs w:val="28"/>
        </w:rPr>
        <w:t>псораленоультрафиолетовое</w:t>
      </w:r>
      <w:proofErr w:type="spellEnd"/>
      <w:r w:rsidR="00816D90" w:rsidRPr="00E16FAD">
        <w:rPr>
          <w:rFonts w:ascii="Times New Roman" w:hAnsi="Times New Roman"/>
          <w:sz w:val="28"/>
          <w:szCs w:val="28"/>
        </w:rPr>
        <w:t xml:space="preserve"> облучение</w:t>
      </w:r>
      <w:r w:rsidR="00816D90" w:rsidRPr="00E16FA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16D90" w:rsidRPr="00E16FAD">
        <w:rPr>
          <w:rFonts w:ascii="Times New Roman" w:hAnsi="Times New Roman"/>
          <w:sz w:val="28"/>
          <w:szCs w:val="28"/>
        </w:rPr>
        <w:t>(ПУВА)</w:t>
      </w:r>
      <w:r w:rsidR="00067C97" w:rsidRPr="00E16FAD">
        <w:rPr>
          <w:rFonts w:ascii="Times New Roman" w:hAnsi="Times New Roman"/>
          <w:sz w:val="28"/>
          <w:szCs w:val="28"/>
          <w:lang w:val="kk-KZ"/>
        </w:rPr>
        <w:t xml:space="preserve"> терапии</w:t>
      </w:r>
      <w:r w:rsidRPr="00E16FA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sz w:val="28"/>
          <w:szCs w:val="28"/>
        </w:rPr>
        <w:t>ретиноидам</w:t>
      </w:r>
      <w:proofErr w:type="spellEnd"/>
      <w:r w:rsidRPr="00E16FAD">
        <w:rPr>
          <w:rFonts w:ascii="Times New Roman" w:hAnsi="Times New Roman"/>
          <w:sz w:val="28"/>
          <w:szCs w:val="28"/>
        </w:rPr>
        <w:t>)</w:t>
      </w:r>
    </w:p>
    <w:p w14:paraId="12FFB641" w14:textId="77777777" w:rsidR="00D83BC4" w:rsidRPr="00E16FAD" w:rsidRDefault="00D83BC4" w:rsidP="00295D0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тяжелый </w:t>
      </w:r>
      <w:proofErr w:type="spellStart"/>
      <w:r w:rsidRPr="00E16FAD">
        <w:rPr>
          <w:rFonts w:ascii="Times New Roman" w:hAnsi="Times New Roman"/>
          <w:sz w:val="28"/>
          <w:szCs w:val="28"/>
        </w:rPr>
        <w:t>псориатический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артрит у взрослых</w:t>
      </w:r>
    </w:p>
    <w:p w14:paraId="76FF8FE9" w14:textId="77777777" w:rsidR="00844CE8" w:rsidRPr="00E16FAD" w:rsidRDefault="00D83BC4" w:rsidP="00295D0C">
      <w:pPr>
        <w:numPr>
          <w:ilvl w:val="0"/>
          <w:numId w:val="2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болезнь Крона легкой или средней степени тяжести в режиме </w:t>
      </w:r>
      <w:proofErr w:type="spellStart"/>
      <w:r w:rsidRPr="00E16FAD">
        <w:rPr>
          <w:rFonts w:ascii="Times New Roman" w:hAnsi="Times New Roman"/>
          <w:sz w:val="28"/>
          <w:szCs w:val="28"/>
        </w:rPr>
        <w:t>монотерапии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или в комбинации с кортикостероидами у взрослых в случаях резистентности к </w:t>
      </w:r>
      <w:proofErr w:type="spellStart"/>
      <w:r w:rsidRPr="00E16FAD">
        <w:rPr>
          <w:rFonts w:ascii="Times New Roman" w:hAnsi="Times New Roman"/>
          <w:sz w:val="28"/>
          <w:szCs w:val="28"/>
        </w:rPr>
        <w:t>тиопуринам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или при их непереносимости</w:t>
      </w:r>
    </w:p>
    <w:p w14:paraId="3046F733" w14:textId="77777777" w:rsidR="00295D0C" w:rsidRPr="00E16FAD" w:rsidRDefault="00295D0C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540D59B" w14:textId="77777777" w:rsidR="00DB406A" w:rsidRPr="00E16FAD" w:rsidRDefault="00DB406A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сведений, н</w:t>
      </w:r>
      <w:r w:rsidR="00844CE8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еобходимых до начала применения</w:t>
      </w:r>
    </w:p>
    <w:p w14:paraId="634F6DCE" w14:textId="77777777" w:rsidR="007D0E84" w:rsidRPr="00E16FAD" w:rsidRDefault="007D0E84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Противопоказания</w:t>
      </w:r>
    </w:p>
    <w:p w14:paraId="43419B27" w14:textId="77777777" w:rsidR="00B00DD8" w:rsidRPr="00E16FAD" w:rsidRDefault="00B00DD8" w:rsidP="00B00DD8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гиперчувствительности к активному веществу или любому из вспомогательных веществ, перечисленных в разделе 6.1</w:t>
      </w:r>
    </w:p>
    <w:p w14:paraId="671A0C6C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тяжелое нарушение функции печени</w:t>
      </w:r>
    </w:p>
    <w:p w14:paraId="6D5B818B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lastRenderedPageBreak/>
        <w:t>алкоголизм</w:t>
      </w:r>
    </w:p>
    <w:p w14:paraId="6A85AA6E" w14:textId="0DB32699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  <w:lang w:bidi="ru-RU"/>
        </w:rPr>
        <w:t xml:space="preserve">тяжелое нарушение функции почек </w:t>
      </w:r>
      <w:r w:rsidRPr="00E16FAD">
        <w:rPr>
          <w:rFonts w:ascii="Times New Roman" w:hAnsi="Times New Roman"/>
          <w:sz w:val="28"/>
          <w:szCs w:val="28"/>
        </w:rPr>
        <w:t xml:space="preserve">(клиренс креатинина менее </w:t>
      </w:r>
      <w:r w:rsidR="00295D0C" w:rsidRPr="00E16FAD">
        <w:rPr>
          <w:rFonts w:ascii="Times New Roman" w:hAnsi="Times New Roman"/>
          <w:sz w:val="28"/>
          <w:szCs w:val="28"/>
        </w:rPr>
        <w:t>3</w:t>
      </w:r>
      <w:r w:rsidRPr="00E16FAD">
        <w:rPr>
          <w:rFonts w:ascii="Times New Roman" w:hAnsi="Times New Roman"/>
          <w:sz w:val="28"/>
          <w:szCs w:val="28"/>
        </w:rPr>
        <w:t>0 мл/мин)</w:t>
      </w:r>
    </w:p>
    <w:p w14:paraId="24E81E65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нарушения кроветворения в анамнезе, такие как гипоплазия костного мозга, лейкопения, тромбоцитопения, выраженная анемия</w:t>
      </w:r>
    </w:p>
    <w:p w14:paraId="77E2D9C3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тяжелые острые или хронические инфекционные заболевания, такие как туберкулез, ВИЧ-инфекции или другие иммунодефицитные состояния</w:t>
      </w:r>
    </w:p>
    <w:p w14:paraId="54C8FC35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язвы ротовой полости, язвенная болезнь желудочно-кишечного тракта в активной фазе</w:t>
      </w:r>
    </w:p>
    <w:p w14:paraId="3D806C86" w14:textId="0C23F8B2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беременность</w:t>
      </w:r>
      <w:r w:rsidR="00B00DD8" w:rsidRPr="00E16FAD">
        <w:rPr>
          <w:rFonts w:ascii="Times New Roman" w:hAnsi="Times New Roman"/>
          <w:sz w:val="28"/>
          <w:szCs w:val="28"/>
        </w:rPr>
        <w:t xml:space="preserve"> и </w:t>
      </w:r>
      <w:r w:rsidRPr="00E16FAD">
        <w:rPr>
          <w:rFonts w:ascii="Times New Roman" w:hAnsi="Times New Roman"/>
          <w:sz w:val="28"/>
          <w:szCs w:val="28"/>
        </w:rPr>
        <w:t>период кормления грудью</w:t>
      </w:r>
    </w:p>
    <w:p w14:paraId="02D02068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одновременная вакцинация живыми вакцинами</w:t>
      </w:r>
    </w:p>
    <w:p w14:paraId="0577F373" w14:textId="77777777" w:rsidR="00D04B60" w:rsidRPr="00E16FAD" w:rsidRDefault="00D04B60" w:rsidP="00295D0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детский возраст до 3 лет</w:t>
      </w:r>
    </w:p>
    <w:p w14:paraId="65C3490F" w14:textId="77777777" w:rsidR="007D0E84" w:rsidRPr="00E16FAD" w:rsidRDefault="007D0E84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Необходимые меры предосторожности при применении</w:t>
      </w:r>
    </w:p>
    <w:p w14:paraId="2045C5A1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Предварительно заполненный шприц предназначен только для одноразового использования.</w:t>
      </w:r>
    </w:p>
    <w:p w14:paraId="2FBB6783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Пожалуйста, обратите внимание, что все содержимое должно быть использовано.</w:t>
      </w:r>
    </w:p>
    <w:p w14:paraId="676ED351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Раствор метотрексата для инъекций вводят подкожно.</w:t>
      </w:r>
    </w:p>
    <w:p w14:paraId="3D2311C0" w14:textId="76243E16" w:rsidR="00144ED0" w:rsidRPr="00E16FAD" w:rsidRDefault="00144ED0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Общую продолжительность лечения определяет врач.</w:t>
      </w:r>
    </w:p>
    <w:p w14:paraId="056CD104" w14:textId="77777777" w:rsidR="00144ED0" w:rsidRPr="00E16FAD" w:rsidRDefault="00144ED0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переходе от перорального применения метотрексата к парентеральному способу введения может потребоваться снижение дозы из-за различия биодоступности препарата при разных способах применения.</w:t>
      </w:r>
    </w:p>
    <w:p w14:paraId="3A9B26E6" w14:textId="1DB98B9E" w:rsidR="00144ED0" w:rsidRPr="00E16FAD" w:rsidRDefault="00144ED0" w:rsidP="006B28F8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назначении препарата следует рассмотреть вопрос одновременного назначения препаратов фолиевой кислоты в соответствии с существующими стандартами лечения.</w:t>
      </w:r>
    </w:p>
    <w:p w14:paraId="33BA543C" w14:textId="77777777" w:rsidR="00A9352C" w:rsidRPr="00E16FAD" w:rsidRDefault="00A9352C" w:rsidP="006B28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6FAD">
        <w:rPr>
          <w:rFonts w:ascii="Times New Roman" w:eastAsia="Times New Roman" w:hAnsi="Times New Roman"/>
          <w:sz w:val="28"/>
          <w:szCs w:val="28"/>
        </w:rPr>
        <w:t xml:space="preserve">Если вы, ваш партнер или опекун заметили появление новых или ухудшение имеющихся неврологических симптомов, включая мышечную слабость, нарушение зрения, изменения мышления, памяти и ориентации, ведущие к спутанности сознания и изменению личности, следует немедленно обратиться к врачу. Описанные состояния могут быть симптомами очень редкой серьезной инфекции головного мозга, известной как </w:t>
      </w:r>
      <w:proofErr w:type="gramStart"/>
      <w:r w:rsidRPr="00E16FAD">
        <w:rPr>
          <w:rFonts w:ascii="Times New Roman" w:eastAsia="Times New Roman" w:hAnsi="Times New Roman"/>
          <w:sz w:val="28"/>
          <w:szCs w:val="28"/>
        </w:rPr>
        <w:t>прогрессирующая</w:t>
      </w:r>
      <w:proofErr w:type="gramEnd"/>
      <w:r w:rsidRPr="00E16FAD">
        <w:rPr>
          <w:rFonts w:ascii="Times New Roman" w:eastAsia="Times New Roman" w:hAnsi="Times New Roman"/>
          <w:sz w:val="28"/>
          <w:szCs w:val="28"/>
        </w:rPr>
        <w:t xml:space="preserve"> мультифокальная </w:t>
      </w:r>
      <w:proofErr w:type="spellStart"/>
      <w:r w:rsidRPr="00E16FAD">
        <w:rPr>
          <w:rFonts w:ascii="Times New Roman" w:eastAsia="Times New Roman" w:hAnsi="Times New Roman"/>
          <w:sz w:val="28"/>
          <w:szCs w:val="28"/>
        </w:rPr>
        <w:t>лейкоэнцефалопатия</w:t>
      </w:r>
      <w:proofErr w:type="spellEnd"/>
      <w:r w:rsidRPr="00E16FAD">
        <w:rPr>
          <w:rFonts w:ascii="Times New Roman" w:eastAsia="Times New Roman" w:hAnsi="Times New Roman"/>
          <w:sz w:val="28"/>
          <w:szCs w:val="28"/>
        </w:rPr>
        <w:t xml:space="preserve"> (ПМЛ).</w:t>
      </w:r>
    </w:p>
    <w:p w14:paraId="6D3011FB" w14:textId="77777777" w:rsidR="007D0E84" w:rsidRPr="00E16FAD" w:rsidRDefault="007D0E84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Взаимодействия с другими лекарственными препаратами</w:t>
      </w:r>
    </w:p>
    <w:p w14:paraId="32D250BA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Оксид азота</w:t>
      </w:r>
    </w:p>
    <w:p w14:paraId="496FD0E7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Использование оксида азота усиливает влияние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на метаболизм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фолата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что приводит к повышенной токсичности такой, как </w:t>
      </w:r>
      <w:proofErr w:type="gramStart"/>
      <w:r w:rsidRPr="00E16FAD">
        <w:rPr>
          <w:rFonts w:ascii="Times New Roman" w:hAnsi="Times New Roman"/>
          <w:color w:val="000000"/>
          <w:sz w:val="28"/>
          <w:szCs w:val="28"/>
        </w:rPr>
        <w:t>тяжелая</w:t>
      </w:r>
      <w:proofErr w:type="gramEnd"/>
      <w:r w:rsidRPr="00E16FAD">
        <w:rPr>
          <w:rFonts w:ascii="Times New Roman" w:hAnsi="Times New Roman"/>
          <w:color w:val="000000"/>
          <w:sz w:val="28"/>
          <w:szCs w:val="28"/>
        </w:rPr>
        <w:t xml:space="preserve"> непредсказуемая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миелосупрессия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стоматит. Хотя это влияние может быть уменьшено путем введения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фолината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кальция, следует </w:t>
      </w:r>
      <w:proofErr w:type="gramStart"/>
      <w:r w:rsidRPr="00E16FAD">
        <w:rPr>
          <w:rFonts w:ascii="Times New Roman" w:hAnsi="Times New Roman"/>
          <w:color w:val="000000"/>
          <w:sz w:val="28"/>
          <w:szCs w:val="28"/>
        </w:rPr>
        <w:t>избегать</w:t>
      </w:r>
      <w:proofErr w:type="gram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их одновременного использования.</w:t>
      </w:r>
    </w:p>
    <w:p w14:paraId="61AE05E2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Алкоголь, </w:t>
      </w: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гепатотоксичные</w:t>
      </w:r>
      <w:proofErr w:type="spell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гематотоксичные</w:t>
      </w:r>
      <w:proofErr w:type="spell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 лекарственные препараты</w:t>
      </w:r>
    </w:p>
    <w:p w14:paraId="6C249261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Вероятность проявления метотрексатом гепатотоксического действия возрастает при регулярном потреблении алкоголя, а также при одновременном применении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других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гепатотоксичных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6FAD">
        <w:rPr>
          <w:rFonts w:ascii="Times New Roman" w:hAnsi="Times New Roman"/>
          <w:color w:val="000000"/>
          <w:sz w:val="28"/>
          <w:szCs w:val="28"/>
        </w:rPr>
        <w:lastRenderedPageBreak/>
        <w:t xml:space="preserve">лекарственных препаратов. За пациентами, одновременно применяющими другие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гепатотоксичные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лекарственные препараты (например,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лефлуномид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), необходимо осуществлять тщательное наблюдение. Это также касается случаев одновременного назначения препаратов, угнетающих кроветворение (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лефлуномид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азатиоприн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сульфасалазин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ретиноиды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). При одновременном назначении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лефлуномида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возрастает риск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панцитопении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гепатотоксичности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.</w:t>
      </w:r>
    </w:p>
    <w:p w14:paraId="521086ED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Комбинированная терапия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метотрексатом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ретиноидами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16FAD">
        <w:rPr>
          <w:rFonts w:ascii="Times New Roman" w:hAnsi="Times New Roman"/>
          <w:color w:val="000000"/>
          <w:sz w:val="28"/>
          <w:szCs w:val="28"/>
        </w:rPr>
        <w:t>такими</w:t>
      </w:r>
      <w:proofErr w:type="gramEnd"/>
      <w:r w:rsidRPr="00E16FAD">
        <w:rPr>
          <w:rFonts w:ascii="Times New Roman" w:hAnsi="Times New Roman"/>
          <w:color w:val="000000"/>
          <w:sz w:val="28"/>
          <w:szCs w:val="28"/>
        </w:rPr>
        <w:t xml:space="preserve">, как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ацитретин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этретинат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увеличивает риск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гепатотоксичности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.</w:t>
      </w:r>
    </w:p>
    <w:p w14:paraId="5F151D52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Антибиотики для приема внутрь</w:t>
      </w:r>
    </w:p>
    <w:p w14:paraId="4812A9DB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Антибиотики для приема внутрь такие, как тетрациклины, хлорамфеникол и плохо всасывающиеся в ЖКТ антибиотики широкого спектра действия, могут влиять на энтерогепатическую циркуляцию путем подавления нормальной микрофлоры кишечника или бактериального метаболизма.</w:t>
      </w:r>
    </w:p>
    <w:p w14:paraId="0F0B12F3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Антибиотики</w:t>
      </w:r>
    </w:p>
    <w:p w14:paraId="36E2A655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Такие антибиотики как пенициллины,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гликопептиды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сульфаниламиды,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ципрофлоксацин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цефалотин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в отдельных случаях могут снижать выведение метотрексата почками, что приводит к увеличению его концентрации в плазме и, таким образом, к риску проявления гематологической и желудочно-кишечной токсичности.</w:t>
      </w:r>
    </w:p>
    <w:p w14:paraId="3013CB3E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Лекарственные препараты с высокой степенью связывания с белками плазмы</w:t>
      </w:r>
    </w:p>
    <w:p w14:paraId="0268E47E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Метотрексат связывается с белками плазмы и может вытесняться другими лекарственными препаратами, связывающимися с белками, например, салицилатами, гипогликемическими средствами, диуретиками, сульфаниламидами,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дифенилгидантоином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тетрациклинами,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хлорамфениколом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парааминобензоевой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кислотой и противовоспалительными средствами, которые могут привести к нарастанию токсичности метотрексата при одновременном применении.</w:t>
      </w:r>
    </w:p>
    <w:p w14:paraId="0D125685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Пробенецид</w:t>
      </w:r>
      <w:proofErr w:type="spell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, слабые органические кислоты, препараты </w:t>
      </w: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пиразолового</w:t>
      </w:r>
      <w:proofErr w:type="spell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 ряда и нестероидные противовоспалительные препараты</w:t>
      </w:r>
    </w:p>
    <w:p w14:paraId="138DEE42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Пробенецид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слабые органические кислоты (такие, как петлевые диуретики) и препараты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пиразолового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ряда (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фенилбутазон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) снижают выведение метотрексата и могут приводить к увеличению его концентрации в плазме и, таким образом, к увеличению гематологической токсичности. Риск увеличения токсичности возникает при комбинации метотрексата с нестероидными противовоспалительными препаратами или салицилатами.</w:t>
      </w:r>
    </w:p>
    <w:p w14:paraId="46FA1E74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Лекарственные средства, воздействующие на костный мозг</w:t>
      </w:r>
    </w:p>
    <w:p w14:paraId="046F137C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В случае применения препаратов, способных оказывать побочное действие на костный мозг (например, сульфаниламиды,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триметоприм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сульфаметоксазол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хлорамфеникол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пириметамин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), необходимо обратить внимание на возможность выраженного угнетения кроветворения.</w:t>
      </w:r>
    </w:p>
    <w:p w14:paraId="344B34D8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Препараты, способные вызывать дефицит </w:t>
      </w: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фолатов</w:t>
      </w:r>
      <w:proofErr w:type="spellEnd"/>
    </w:p>
    <w:p w14:paraId="4437102B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lastRenderedPageBreak/>
        <w:t xml:space="preserve">Одновременное назначение препаратов, вызывающих дефицит фолиевой кислоты (например, сульфаниламидов,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триметоприма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сульфаметоксазола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), может приводить к увеличению токсичности метотрексата. Поэтому рекомендуется соблюдать особую осторожность в назначении таких препаратов во избежание развития дефицита фолиевой кислоты.</w:t>
      </w:r>
    </w:p>
    <w:p w14:paraId="0F742953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Препараты, содержащие фолиевую или </w:t>
      </w: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фолиниевую</w:t>
      </w:r>
      <w:proofErr w:type="spell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 кислоту</w:t>
      </w:r>
    </w:p>
    <w:p w14:paraId="7662179C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Витаминные или другие препараты, содержащие фолиевую,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фолиниевую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кислоты или их производные, могут снизить эффективность метотрексата.</w:t>
      </w:r>
    </w:p>
    <w:p w14:paraId="2C30C04C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Другие противоревматические лекарственные средства</w:t>
      </w:r>
    </w:p>
    <w:p w14:paraId="654DEA91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Совместное назначение с другими противоревматическими лекарственными средствами (препараты золота,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пеницилламин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гидроксихлорокин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сульфасалазин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азатиоприн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, циклоспорин) обычно не приводит к увеличению токсических эффектов метотрексата.</w:t>
      </w:r>
    </w:p>
    <w:p w14:paraId="792C9709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Сульфасалазин</w:t>
      </w:r>
      <w:proofErr w:type="spellEnd"/>
    </w:p>
    <w:p w14:paraId="3EAB36B8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Хотя комбинация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с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сульфасалазином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может стать причиной увеличения эффективности метотрексата и, как результат, усиливать побочные эффекты, связанные с ингибированием синтеза фолиевой кислоты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сульфасалазином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однако такие побочные эффекты в ходе ряда </w:t>
      </w:r>
      <w:proofErr w:type="spellStart"/>
      <w:proofErr w:type="gramStart"/>
      <w:r w:rsidRPr="00E16FAD">
        <w:rPr>
          <w:rFonts w:ascii="Times New Roman" w:hAnsi="Times New Roman"/>
          <w:color w:val="000000"/>
          <w:sz w:val="28"/>
          <w:szCs w:val="28"/>
        </w:rPr>
        <w:t>исследова-ний</w:t>
      </w:r>
      <w:proofErr w:type="spellEnd"/>
      <w:proofErr w:type="gramEnd"/>
      <w:r w:rsidRPr="00E16FAD">
        <w:rPr>
          <w:rFonts w:ascii="Times New Roman" w:hAnsi="Times New Roman"/>
          <w:color w:val="000000"/>
          <w:sz w:val="28"/>
          <w:szCs w:val="28"/>
        </w:rPr>
        <w:t xml:space="preserve"> наблюдались лишь в отдельных редких случаях.</w:t>
      </w:r>
    </w:p>
    <w:p w14:paraId="495F13D3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Меркаптопурин</w:t>
      </w:r>
      <w:proofErr w:type="spellEnd"/>
    </w:p>
    <w:p w14:paraId="5F885D77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увеличивает концентрацию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меркаптопурина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в плазме, ввиду чего при комбинированной терапии может потребоваться коррекция доз.</w:t>
      </w:r>
    </w:p>
    <w:p w14:paraId="0D7699F1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Ингибиторы протонной помпы</w:t>
      </w:r>
    </w:p>
    <w:p w14:paraId="19FC61C2" w14:textId="1F414939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Одновременное назначение ингибиторов протонного насоса (таких, как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омепразол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или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пантопразол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) может приводить к взаимодействию. Одновременное применение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метотрексата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омепразола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приводит к задержке выведения метотрексата. В комбинации с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пантопразолом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сообщалось об одном случае снижения выведения метаболита метотрексата – 7-гидроксиметотрексата, что сопровождалось миалгией и дрожью.</w:t>
      </w:r>
    </w:p>
    <w:p w14:paraId="023F1397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Теофиллин</w:t>
      </w:r>
    </w:p>
    <w:p w14:paraId="48DF3F9A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Метотрексат может уменьшать клиренс теофиллина; должна отслеживаться концентрация теофиллина при одновременном применении с метотрексатом.</w:t>
      </w:r>
    </w:p>
    <w:p w14:paraId="3797D62F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i/>
          <w:color w:val="000000"/>
          <w:sz w:val="28"/>
          <w:szCs w:val="28"/>
        </w:rPr>
        <w:t>Кофеи</w:t>
      </w:r>
      <w:proofErr w:type="gramStart"/>
      <w:r w:rsidRPr="00E16FAD">
        <w:rPr>
          <w:rFonts w:ascii="Times New Roman" w:hAnsi="Times New Roman"/>
          <w:i/>
          <w:color w:val="000000"/>
          <w:sz w:val="28"/>
          <w:szCs w:val="28"/>
        </w:rPr>
        <w:t>н-</w:t>
      </w:r>
      <w:proofErr w:type="gram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proofErr w:type="spellStart"/>
      <w:r w:rsidRPr="00E16FAD">
        <w:rPr>
          <w:rFonts w:ascii="Times New Roman" w:hAnsi="Times New Roman"/>
          <w:i/>
          <w:color w:val="000000"/>
          <w:sz w:val="28"/>
          <w:szCs w:val="28"/>
        </w:rPr>
        <w:t>теофиллинсодержащие</w:t>
      </w:r>
      <w:proofErr w:type="spellEnd"/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 напитки</w:t>
      </w:r>
    </w:p>
    <w:p w14:paraId="57008E62" w14:textId="7D6F1F30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Во время лечения метотрексатом следует избегать употребления в больших количествах кофеи</w:t>
      </w:r>
      <w:proofErr w:type="gramStart"/>
      <w:r w:rsidRPr="00E16FAD">
        <w:rPr>
          <w:rFonts w:ascii="Times New Roman" w:hAnsi="Times New Roman"/>
          <w:color w:val="000000"/>
          <w:sz w:val="28"/>
          <w:szCs w:val="28"/>
        </w:rPr>
        <w:t>н-</w:t>
      </w:r>
      <w:proofErr w:type="gramEnd"/>
      <w:r w:rsidRPr="00E16FAD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теофиллинсодержащих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напитков (кофе, содержащие кофеин напитки, черный чай).</w:t>
      </w:r>
    </w:p>
    <w:p w14:paraId="213376DE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3" w:name="_Hlk71708216"/>
      <w:proofErr w:type="spellStart"/>
      <w:r w:rsidRPr="00E16FAD">
        <w:rPr>
          <w:rFonts w:ascii="Times New Roman" w:eastAsia="Times New Roman" w:hAnsi="Times New Roman"/>
          <w:i/>
          <w:sz w:val="28"/>
          <w:szCs w:val="28"/>
          <w:lang w:eastAsia="ru-RU"/>
        </w:rPr>
        <w:t>Холестирамин</w:t>
      </w:r>
      <w:proofErr w:type="spellEnd"/>
    </w:p>
    <w:bookmarkEnd w:id="3"/>
    <w:p w14:paraId="4E63E4E2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Холестирамин</w:t>
      </w:r>
      <w:proofErr w:type="spellEnd"/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увеличивать внепочечное выведение метотрексата путем прерывания энтерогепатической циркуляции.</w:t>
      </w:r>
    </w:p>
    <w:p w14:paraId="303514A7" w14:textId="77777777" w:rsidR="00D43297" w:rsidRPr="00E16FAD" w:rsidRDefault="00D43297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Специальные предупреждения</w:t>
      </w:r>
    </w:p>
    <w:p w14:paraId="7F661239" w14:textId="77777777" w:rsidR="00144ED0" w:rsidRPr="00E16FAD" w:rsidRDefault="00144ED0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 xml:space="preserve">Пациенты должны быть четко проинформированы о том, что препарат следует применять один раз в неделю, а не ежедневно. За проходящими терапию </w:t>
      </w:r>
      <w:r w:rsidRPr="00E16FAD">
        <w:rPr>
          <w:rFonts w:ascii="Times New Roman" w:hAnsi="Times New Roman"/>
          <w:iCs/>
          <w:sz w:val="28"/>
          <w:szCs w:val="28"/>
          <w:lang w:val="kk-KZ"/>
        </w:rPr>
        <w:t>метотрексатом</w:t>
      </w:r>
      <w:r w:rsidRPr="00E16FAD">
        <w:rPr>
          <w:rFonts w:ascii="Times New Roman" w:hAnsi="Times New Roman"/>
          <w:iCs/>
          <w:sz w:val="28"/>
          <w:szCs w:val="28"/>
        </w:rPr>
        <w:t xml:space="preserve"> пациентами следует осуществлять надлежащее </w:t>
      </w:r>
      <w:r w:rsidRPr="00E16FAD">
        <w:rPr>
          <w:rFonts w:ascii="Times New Roman" w:hAnsi="Times New Roman"/>
          <w:iCs/>
          <w:sz w:val="28"/>
          <w:szCs w:val="28"/>
        </w:rPr>
        <w:lastRenderedPageBreak/>
        <w:t xml:space="preserve">наблюдение с тем, чтобы признаки возможного токсического воздействия и побочных реакций выявлялись и оценивались с минимальной задержкой. </w:t>
      </w:r>
      <w:r w:rsidRPr="00E16FAD">
        <w:rPr>
          <w:rFonts w:ascii="Times New Roman" w:hAnsi="Times New Roman"/>
          <w:iCs/>
          <w:sz w:val="28"/>
          <w:szCs w:val="28"/>
          <w:lang w:val="kk-KZ"/>
        </w:rPr>
        <w:t>Метотрексат</w:t>
      </w:r>
      <w:r w:rsidRPr="00E16FAD">
        <w:rPr>
          <w:rFonts w:ascii="Times New Roman" w:hAnsi="Times New Roman"/>
          <w:iCs/>
          <w:sz w:val="28"/>
          <w:szCs w:val="28"/>
        </w:rPr>
        <w:t xml:space="preserve"> должен назначаться только врачом-специалистом, имеющим достаточные знания и опыт проведения 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антиметаболической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 терапии. Ввиду возможного развития тяжелых, или даже фатальных побочных реакций, пациенты должны быть полностью информированы врачом о возможных рисках и рекомендуемых мерах безопасности.</w:t>
      </w:r>
    </w:p>
    <w:p w14:paraId="09D60075" w14:textId="77777777" w:rsidR="00D34C3B" w:rsidRPr="00E16FAD" w:rsidRDefault="00D34C3B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 xml:space="preserve">Следует избегать контакта </w:t>
      </w:r>
      <w:r w:rsidRPr="00E16FAD">
        <w:rPr>
          <w:rFonts w:ascii="Times New Roman" w:hAnsi="Times New Roman"/>
          <w:iCs/>
          <w:sz w:val="28"/>
          <w:szCs w:val="28"/>
          <w:lang w:val="kk-KZ"/>
        </w:rPr>
        <w:t>метотрексата</w:t>
      </w:r>
      <w:r w:rsidRPr="00E16FAD">
        <w:rPr>
          <w:rFonts w:ascii="Times New Roman" w:hAnsi="Times New Roman"/>
          <w:iCs/>
          <w:sz w:val="28"/>
          <w:szCs w:val="28"/>
        </w:rPr>
        <w:t xml:space="preserve"> с кожей и слизистыми оболочками. При попадании препарата на кожу и слизистые их следует немедленно промыть большим количеством воды.</w:t>
      </w:r>
    </w:p>
    <w:p w14:paraId="71DC43C5" w14:textId="77777777" w:rsidR="00144ED0" w:rsidRPr="00E16FAD" w:rsidRDefault="00144ED0" w:rsidP="00295D0C">
      <w:pPr>
        <w:pStyle w:val="a9"/>
        <w:widowControl w:val="0"/>
        <w:spacing w:after="0"/>
        <w:jc w:val="both"/>
        <w:rPr>
          <w:i/>
          <w:sz w:val="28"/>
          <w:szCs w:val="28"/>
          <w:u w:val="single"/>
        </w:rPr>
      </w:pPr>
      <w:r w:rsidRPr="00E16FAD">
        <w:rPr>
          <w:i/>
          <w:sz w:val="28"/>
          <w:szCs w:val="28"/>
          <w:u w:val="single"/>
        </w:rPr>
        <w:t>Рекомендуемые обследования и меры безопасности</w:t>
      </w:r>
    </w:p>
    <w:p w14:paraId="5DCF8330" w14:textId="77777777" w:rsidR="00392475" w:rsidRPr="00E16FAD" w:rsidRDefault="00392475" w:rsidP="00295D0C">
      <w:pPr>
        <w:widowControl w:val="0"/>
        <w:numPr>
          <w:ilvl w:val="0"/>
          <w:numId w:val="34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Обследование слизистой полости рта и глотки на предмет изменений слизистой оболочки.</w:t>
      </w:r>
    </w:p>
    <w:p w14:paraId="7CE8A3EC" w14:textId="77777777" w:rsidR="00392475" w:rsidRPr="00E16FAD" w:rsidRDefault="00392475" w:rsidP="00295D0C">
      <w:pPr>
        <w:widowControl w:val="0"/>
        <w:numPr>
          <w:ilvl w:val="0"/>
          <w:numId w:val="34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Развернутый анализ крови с определением лейкоцитарной формулы и уровня тромбоцитов. Подавление гемопоэза, вызванное метотрексатом, может происходить внезапно, в том числе при применении препарата в малых дозах. В любом случае значительного снижения числа лейкоцитов или тромбоцитов необходимо немедленно прервать лечение метотрексатом и провести адекватную поддерживающую терапию. Пациентам должно быть </w:t>
      </w:r>
      <w:proofErr w:type="gramStart"/>
      <w:r w:rsidRPr="00E16FAD">
        <w:rPr>
          <w:rFonts w:ascii="Times New Roman" w:hAnsi="Times New Roman"/>
          <w:sz w:val="28"/>
          <w:szCs w:val="28"/>
        </w:rPr>
        <w:t>рекомендовано</w:t>
      </w:r>
      <w:proofErr w:type="gramEnd"/>
      <w:r w:rsidRPr="00E16FAD">
        <w:rPr>
          <w:rFonts w:ascii="Times New Roman" w:hAnsi="Times New Roman"/>
          <w:sz w:val="28"/>
          <w:szCs w:val="28"/>
        </w:rPr>
        <w:t xml:space="preserve"> сообщать о любых признаках и симптомах возможных инфекций. Пациенты, одновременно применяющие </w:t>
      </w:r>
      <w:proofErr w:type="spellStart"/>
      <w:r w:rsidRPr="00E16FAD">
        <w:rPr>
          <w:rFonts w:ascii="Times New Roman" w:hAnsi="Times New Roman"/>
          <w:sz w:val="28"/>
          <w:szCs w:val="28"/>
        </w:rPr>
        <w:t>гематотоксичные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препараты (например, </w:t>
      </w:r>
      <w:proofErr w:type="spellStart"/>
      <w:r w:rsidRPr="00E16FAD">
        <w:rPr>
          <w:rFonts w:ascii="Times New Roman" w:hAnsi="Times New Roman"/>
          <w:sz w:val="28"/>
          <w:szCs w:val="28"/>
        </w:rPr>
        <w:t>лефлуномид</w:t>
      </w:r>
      <w:proofErr w:type="spellEnd"/>
      <w:r w:rsidRPr="00E16FAD">
        <w:rPr>
          <w:rFonts w:ascii="Times New Roman" w:hAnsi="Times New Roman"/>
          <w:sz w:val="28"/>
          <w:szCs w:val="28"/>
        </w:rPr>
        <w:t>), должны тщательно наблюдаться с контролем показателей крови и числа тромбоцитов.</w:t>
      </w:r>
    </w:p>
    <w:p w14:paraId="78A6D483" w14:textId="77777777" w:rsidR="0082725A" w:rsidRPr="00E16FAD" w:rsidRDefault="0082725A" w:rsidP="0082725A">
      <w:pPr>
        <w:widowControl w:val="0"/>
        <w:numPr>
          <w:ilvl w:val="0"/>
          <w:numId w:val="34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Функциональные пробы печени: Лечение не следует начинать или его следует прекратить при наличии стойких или значительных отклонений в функциональных пробах печени, других неинвазивных диагностиках фиброза печени или биопсии печени.</w:t>
      </w:r>
    </w:p>
    <w:p w14:paraId="33338B45" w14:textId="77777777" w:rsidR="0082725A" w:rsidRPr="00E16FAD" w:rsidRDefault="0082725A" w:rsidP="00827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У пациентов с частотой 13–20 % сообщалось о временном повышении активности трансаминаз в два или три раза по сравнению с верхней границей нормы.</w:t>
      </w:r>
    </w:p>
    <w:p w14:paraId="5B729C46" w14:textId="77777777" w:rsidR="0082725A" w:rsidRPr="00E16FAD" w:rsidRDefault="0082725A" w:rsidP="008272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Стойкое повышение активности ферментов печени и/или снижение уровня сывороточного альбумина может свидетельствовать о тяжелой гепатотоксичности.</w:t>
      </w:r>
      <w:r w:rsidRPr="00E16FAD">
        <w:rPr>
          <w:rFonts w:ascii="Times New Roman" w:hAnsi="Times New Roman"/>
          <w:sz w:val="28"/>
          <w:szCs w:val="28"/>
        </w:rPr>
        <w:t xml:space="preserve"> </w:t>
      </w:r>
      <w:r w:rsidRPr="00E16FAD">
        <w:rPr>
          <w:rFonts w:ascii="Times New Roman" w:hAnsi="Times New Roman"/>
          <w:sz w:val="28"/>
          <w:szCs w:val="28"/>
          <w:lang w:val="kk-KZ"/>
        </w:rPr>
        <w:t>В случае стойкого повышения активности ферментов печени следует рассмотреть возможность снижения дозы или прекращения терапии.</w:t>
      </w:r>
    </w:p>
    <w:p w14:paraId="56E20AD6" w14:textId="77777777" w:rsidR="0082725A" w:rsidRPr="00E16FAD" w:rsidRDefault="0082725A" w:rsidP="0082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Гистологическим изменениям, фиброзу и, реже, циррозу печени могут не предшествовать отклонения от нормы функциональных проб печени. При циррозе печени бывают случаи, когда трансаминазы в норме. Поэтому следует рассмотреть неинвазивные методы диагностики состояния печени, в дополнение к функциональным пробам печени. Биопсия печени должна рассматриваться в индивидуальном порядке с учетом сопутствующих заболеваний пациента, истории болезни и рисков, связанных с биопсией.</w:t>
      </w:r>
    </w:p>
    <w:p w14:paraId="38C692AD" w14:textId="77777777" w:rsidR="0082725A" w:rsidRPr="00E16FAD" w:rsidRDefault="0082725A" w:rsidP="0082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Факторы риска </w:t>
      </w:r>
      <w:proofErr w:type="spellStart"/>
      <w:r w:rsidRPr="00E16FAD">
        <w:rPr>
          <w:rFonts w:ascii="Times New Roman" w:hAnsi="Times New Roman"/>
          <w:sz w:val="28"/>
          <w:szCs w:val="28"/>
        </w:rPr>
        <w:t>гепатотоксичности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включают чрезмерное употребление алкоголя в прошлом, стойкое повышение уровня ферментов печени, заболевания печени в анамнезе, семейный анамнез наследственных </w:t>
      </w:r>
      <w:r w:rsidRPr="00E16FAD">
        <w:rPr>
          <w:rFonts w:ascii="Times New Roman" w:hAnsi="Times New Roman"/>
          <w:sz w:val="28"/>
          <w:szCs w:val="28"/>
        </w:rPr>
        <w:lastRenderedPageBreak/>
        <w:t xml:space="preserve">заболеваний печени, сахарный диабет, ожирение и предшествующее использование </w:t>
      </w:r>
      <w:proofErr w:type="spellStart"/>
      <w:r w:rsidRPr="00E16FAD">
        <w:rPr>
          <w:rFonts w:ascii="Times New Roman" w:hAnsi="Times New Roman"/>
          <w:sz w:val="28"/>
          <w:szCs w:val="28"/>
        </w:rPr>
        <w:t>гепатотоксичных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препаратов или химических веществ, а также длительное лечение метотрексатом.</w:t>
      </w:r>
    </w:p>
    <w:p w14:paraId="34F5D602" w14:textId="77777777" w:rsidR="0082725A" w:rsidRPr="00E16FAD" w:rsidRDefault="0082725A" w:rsidP="0082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Во время лечения метотрексатом не следует назначать дополнительные гепатотоксические препараты, за исключением случаев крайней необходимости. Следует избегать потребления алкоголя (см. разделы 4.3 и 4.5). У пациентов, одновременно принимающих другие гепатотоксические препараты, следует более тщательно контролировать ферменты печени.</w:t>
      </w:r>
    </w:p>
    <w:p w14:paraId="561FD86D" w14:textId="77777777" w:rsidR="0082725A" w:rsidRPr="00E16FAD" w:rsidRDefault="0082725A" w:rsidP="00827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Следует соблюдать повышенную осторожность у пациентов с инсулинозависимым сахарным диабетом, так как на фоне лечения метотрексатом в единичных случаях развивался цирроз печени без повышения активности трансаминаз.</w:t>
      </w:r>
    </w:p>
    <w:p w14:paraId="58F2428A" w14:textId="77777777" w:rsidR="00392475" w:rsidRPr="00E16FAD" w:rsidRDefault="00392475" w:rsidP="00295D0C">
      <w:pPr>
        <w:widowControl w:val="0"/>
        <w:numPr>
          <w:ilvl w:val="0"/>
          <w:numId w:val="34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Контроль функции почек должен осуществляться посредством тестов на почечную недостаточность и общего анализа мочи: так как метотрексат выводится в основном почками, в случае нарушения функции почек следует ожидать повышения уровня метотрексата в плазме, что способно привести к проявлению серьезных нежелательных побочных эффектов. </w:t>
      </w:r>
    </w:p>
    <w:p w14:paraId="60EF7AA1" w14:textId="77777777" w:rsidR="00392475" w:rsidRPr="00E16FAD" w:rsidRDefault="00392475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В случаях возможного снижения функции почек (например, у пожилых пациентов) контрольные обследования следует проводить чаще. Также это относится к случаям одновременного назначения препаратов, влияющих на выведение метотрексата, препаратов, способных привести к поражению почек (например, НПВП), а также препаратов, способных влиять на систему кроветворения.</w:t>
      </w:r>
    </w:p>
    <w:p w14:paraId="5E404BCD" w14:textId="77777777" w:rsidR="00392475" w:rsidRPr="00E16FAD" w:rsidRDefault="00392475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Дегидратация также может усиливать токсичность метотрексата.</w:t>
      </w:r>
    </w:p>
    <w:p w14:paraId="63A8E517" w14:textId="77777777" w:rsidR="00392475" w:rsidRPr="00E16FAD" w:rsidRDefault="00392475" w:rsidP="00295D0C">
      <w:pPr>
        <w:widowControl w:val="0"/>
        <w:numPr>
          <w:ilvl w:val="0"/>
          <w:numId w:val="34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Обследование дыхательной системы.</w:t>
      </w:r>
    </w:p>
    <w:p w14:paraId="61699997" w14:textId="7D39165D" w:rsidR="00392475" w:rsidRPr="00E16FAD" w:rsidRDefault="00392475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Особое внимание необходимо обращать на симптомы ухудшения функции легких, в случае надобности должны быть проведены соответствующие тесты. Признаки патологии со стороны легких требуют немедленной диагностики и отмены метотрексата. Симптомы поражения органов дыхания (особенно сухой непродуктивный кашель), неспецифический </w:t>
      </w:r>
      <w:proofErr w:type="spellStart"/>
      <w:r w:rsidRPr="00E16FAD">
        <w:rPr>
          <w:rFonts w:ascii="Times New Roman" w:hAnsi="Times New Roman"/>
          <w:sz w:val="28"/>
          <w:szCs w:val="28"/>
        </w:rPr>
        <w:t>пневмонит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, возникающие во время терапии метотрексатом, могут свидетельствовать о потенциально опасном заболевании и требуют прерывания лечения и тщательного обследования. Это связано с вероятностью развития острого или хронического интерстициального </w:t>
      </w:r>
      <w:proofErr w:type="spellStart"/>
      <w:r w:rsidRPr="00E16FAD">
        <w:rPr>
          <w:rFonts w:ascii="Times New Roman" w:hAnsi="Times New Roman"/>
          <w:sz w:val="28"/>
          <w:szCs w:val="28"/>
        </w:rPr>
        <w:t>пневмонита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, часто сопровождающегося </w:t>
      </w:r>
      <w:proofErr w:type="spellStart"/>
      <w:r w:rsidRPr="00E16FAD">
        <w:rPr>
          <w:rFonts w:ascii="Times New Roman" w:hAnsi="Times New Roman"/>
          <w:sz w:val="28"/>
          <w:szCs w:val="28"/>
        </w:rPr>
        <w:t>эозинофилией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, и являющегося угрожающим жизни состоянием. Клинические симптомы вызванного применением метотрексата поражения легких разнообразны, однако типичными признаками являются лихорадка, кашель, затрудненное дыхание, гипоксемия и наличие инфильтрата в легких на рентгенограмме. </w:t>
      </w:r>
      <w:r w:rsidRPr="00E16FAD">
        <w:rPr>
          <w:rFonts w:ascii="Times New Roman" w:hAnsi="Times New Roman"/>
          <w:sz w:val="28"/>
          <w:szCs w:val="28"/>
          <w:lang w:val="kk-KZ"/>
        </w:rPr>
        <w:t xml:space="preserve">Это поражение может возникнуть при любых дозах. </w:t>
      </w:r>
    </w:p>
    <w:p w14:paraId="2B3627D3" w14:textId="77777777" w:rsidR="00392475" w:rsidRPr="00E16FAD" w:rsidRDefault="00392475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 xml:space="preserve">Кроме того, сообщалось о легочном альвеолярном кровотечении при применении метотрексата при ревматологических и связанных показаниях. Это явление также может быть связано с васкулитом и другими сопутствующими заболеваниями. При подозрении на легочное </w:t>
      </w:r>
      <w:r w:rsidRPr="00E16FAD">
        <w:rPr>
          <w:rFonts w:ascii="Times New Roman" w:hAnsi="Times New Roman"/>
          <w:sz w:val="28"/>
          <w:szCs w:val="28"/>
          <w:lang w:eastAsia="sv-SE"/>
        </w:rPr>
        <w:lastRenderedPageBreak/>
        <w:t>альвеолярное кровотечение необходимо проведение срочного обследования для подтверждения диагноза.</w:t>
      </w:r>
    </w:p>
    <w:p w14:paraId="57A287B1" w14:textId="77777777" w:rsidR="00392475" w:rsidRPr="00E16FAD" w:rsidRDefault="00392475" w:rsidP="00295D0C">
      <w:pPr>
        <w:widowControl w:val="0"/>
        <w:numPr>
          <w:ilvl w:val="0"/>
          <w:numId w:val="34"/>
        </w:numPr>
        <w:tabs>
          <w:tab w:val="clear" w:pos="36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Метотрексат влияет на иммунную систему, может ухудшать реакцию на вакцинацию и воздействовать на результаты иммунологических тестов. Особая осторожность требуется в случаях применения препарата у пациентов с хроническими инфекционными заболеваниями вне периодов обострения (</w:t>
      </w:r>
      <w:r w:rsidRPr="00E16FAD">
        <w:rPr>
          <w:rFonts w:ascii="Times New Roman" w:hAnsi="Times New Roman"/>
          <w:sz w:val="28"/>
          <w:szCs w:val="28"/>
          <w:lang w:val="kk-KZ"/>
        </w:rPr>
        <w:t>Опоясывающий лишай</w:t>
      </w:r>
      <w:r w:rsidRPr="00E16FAD">
        <w:rPr>
          <w:rFonts w:ascii="Times New Roman" w:hAnsi="Times New Roman"/>
          <w:sz w:val="28"/>
          <w:szCs w:val="28"/>
        </w:rPr>
        <w:t>, туберкулез, гепатит</w:t>
      </w:r>
      <w:proofErr w:type="gramStart"/>
      <w:r w:rsidRPr="00E16FAD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E16FAD">
        <w:rPr>
          <w:rFonts w:ascii="Times New Roman" w:hAnsi="Times New Roman"/>
          <w:sz w:val="28"/>
          <w:szCs w:val="28"/>
        </w:rPr>
        <w:t xml:space="preserve"> или С) из-за возможности обострения заболевания. </w:t>
      </w:r>
      <w:bookmarkStart w:id="4" w:name="_Hlk71711281"/>
      <w:r w:rsidRPr="00E16FAD">
        <w:rPr>
          <w:rFonts w:ascii="Times New Roman" w:hAnsi="Times New Roman"/>
          <w:sz w:val="28"/>
          <w:szCs w:val="28"/>
        </w:rPr>
        <w:t>Вакцинация с использованием живых вакцин не должна проводиться в рамках терапии метотрексатом.</w:t>
      </w:r>
      <w:r w:rsidRPr="00E16FAD">
        <w:rPr>
          <w:rFonts w:ascii="Times New Roman" w:hAnsi="Times New Roman"/>
          <w:sz w:val="28"/>
          <w:szCs w:val="28"/>
          <w:lang w:val="kk-KZ"/>
        </w:rPr>
        <w:t xml:space="preserve"> </w:t>
      </w:r>
      <w:bookmarkEnd w:id="4"/>
      <w:r w:rsidRPr="00E16FAD">
        <w:rPr>
          <w:rFonts w:ascii="Times New Roman" w:hAnsi="Times New Roman"/>
          <w:iCs/>
          <w:sz w:val="28"/>
          <w:szCs w:val="28"/>
        </w:rPr>
        <w:t>У пациентов, применяющих низкие дозы метотрексата, могут возникать злокачественные лимфомы; в этих случаях лечение должно быть прекращено. При отсутствии признаков спонтанной регрессии лимфомы необходимо проведение цитотоксической терапии.</w:t>
      </w:r>
    </w:p>
    <w:p w14:paraId="113C7A6E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В редких случаях при одновременном назначении антагонистов фолиевой кислоты (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триметоприма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сульфаметоксазола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) описывалось развитие острой 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мегалобластной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панцитопении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>.</w:t>
      </w:r>
    </w:p>
    <w:p w14:paraId="58317B5E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 xml:space="preserve">Фотодерматиты и солнечные ожоги могут возобновляться на фоне терапии метотрексатом (отставленные реакции). 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Псориатические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 симптомы могут усилиться при одновременном воздействии ультрафиолетовых лучей и терапии метотрексатом.</w:t>
      </w:r>
    </w:p>
    <w:p w14:paraId="7D56A1D5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У пациентов с дополнительным объемом распределения (патологическое скопление жидкости в организме при асците, плевральном выпоте) метотрексат выводится медленно. У таких пациентов необходим тщательный контроль мониторинга токсичности, требуется снижение дозы, а в некоторых случаях, и отмена терапии препаратом. Асцит или плевральный выпот должны быть дренированы до назначения метотрексата.</w:t>
      </w:r>
    </w:p>
    <w:p w14:paraId="7F8B5CAA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Диарея или язвенный стоматит могут быть следствием токсического воздействия метотрексата и требовать перерыва в терапии, иначе вероятно развитие геморрагического энтерита и летальный исход вследствие кишечной перфорации.</w:t>
      </w:r>
    </w:p>
    <w:p w14:paraId="206EE25E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Витаминные препараты или другие продукты, содержащие фолиевую кислоту, фолиевую кислоту или их производные, могут снижать эффективность метотрексата.</w:t>
      </w:r>
    </w:p>
    <w:p w14:paraId="58EEE652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При псориазе показания к лечению метотрексатом ограничиваются тяжелым, упорным</w:t>
      </w:r>
      <w:r w:rsidRPr="00E16FAD">
        <w:rPr>
          <w:rFonts w:ascii="Times New Roman" w:hAnsi="Times New Roman"/>
          <w:iCs/>
          <w:sz w:val="28"/>
          <w:szCs w:val="28"/>
          <w:lang w:val="kk-KZ"/>
        </w:rPr>
        <w:t>, инвалидизирующим псориазом</w:t>
      </w:r>
      <w:r w:rsidRPr="00E16FAD">
        <w:rPr>
          <w:rFonts w:ascii="Times New Roman" w:hAnsi="Times New Roman"/>
          <w:iCs/>
          <w:sz w:val="28"/>
          <w:szCs w:val="28"/>
        </w:rPr>
        <w:t>, устойчивым к другим формам терапии, при подтвержденном биопсией диагнозе и после консультации врача-дерматолога.</w:t>
      </w:r>
    </w:p>
    <w:p w14:paraId="132FF236" w14:textId="77777777" w:rsidR="00E068A3" w:rsidRPr="00E16FAD" w:rsidRDefault="00E068A3" w:rsidP="00E06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6FAD">
        <w:rPr>
          <w:rFonts w:ascii="Times New Roman" w:eastAsia="Times New Roman" w:hAnsi="Times New Roman"/>
          <w:sz w:val="28"/>
          <w:szCs w:val="28"/>
        </w:rPr>
        <w:t xml:space="preserve">Прогрессирующая мультифокальная </w:t>
      </w:r>
      <w:proofErr w:type="spellStart"/>
      <w:r w:rsidRPr="00E16FAD">
        <w:rPr>
          <w:rFonts w:ascii="Times New Roman" w:eastAsia="Times New Roman" w:hAnsi="Times New Roman"/>
          <w:sz w:val="28"/>
          <w:szCs w:val="28"/>
        </w:rPr>
        <w:t>лейкоэнцефалопатия</w:t>
      </w:r>
      <w:proofErr w:type="spellEnd"/>
      <w:r w:rsidRPr="00E16FAD">
        <w:rPr>
          <w:rFonts w:ascii="Times New Roman" w:eastAsia="Times New Roman" w:hAnsi="Times New Roman"/>
          <w:sz w:val="28"/>
          <w:szCs w:val="28"/>
        </w:rPr>
        <w:t xml:space="preserve"> (ПМЛ)</w:t>
      </w:r>
    </w:p>
    <w:p w14:paraId="316BCE32" w14:textId="77777777" w:rsidR="00E068A3" w:rsidRPr="00E16FAD" w:rsidRDefault="00E068A3" w:rsidP="00E068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6FAD">
        <w:rPr>
          <w:rFonts w:ascii="Times New Roman" w:eastAsia="Times New Roman" w:hAnsi="Times New Roman"/>
          <w:sz w:val="28"/>
          <w:szCs w:val="28"/>
        </w:rPr>
        <w:t xml:space="preserve">Сообщалось о случаях развития </w:t>
      </w:r>
      <w:proofErr w:type="gramStart"/>
      <w:r w:rsidRPr="00E16FAD">
        <w:rPr>
          <w:rFonts w:ascii="Times New Roman" w:eastAsia="Times New Roman" w:hAnsi="Times New Roman"/>
          <w:sz w:val="28"/>
          <w:szCs w:val="28"/>
        </w:rPr>
        <w:t>прогрессирующей</w:t>
      </w:r>
      <w:proofErr w:type="gramEnd"/>
      <w:r w:rsidRPr="00E16FAD">
        <w:rPr>
          <w:rFonts w:ascii="Times New Roman" w:eastAsia="Times New Roman" w:hAnsi="Times New Roman"/>
          <w:sz w:val="28"/>
          <w:szCs w:val="28"/>
        </w:rPr>
        <w:t xml:space="preserve"> мультифокальной </w:t>
      </w:r>
      <w:proofErr w:type="spellStart"/>
      <w:r w:rsidRPr="00E16FAD">
        <w:rPr>
          <w:rFonts w:ascii="Times New Roman" w:eastAsia="Times New Roman" w:hAnsi="Times New Roman"/>
          <w:sz w:val="28"/>
          <w:szCs w:val="28"/>
        </w:rPr>
        <w:t>лейкоэнцефалопатии</w:t>
      </w:r>
      <w:proofErr w:type="spellEnd"/>
      <w:r w:rsidRPr="00E16FAD">
        <w:rPr>
          <w:rFonts w:ascii="Times New Roman" w:eastAsia="Times New Roman" w:hAnsi="Times New Roman"/>
          <w:sz w:val="28"/>
          <w:szCs w:val="28"/>
        </w:rPr>
        <w:t xml:space="preserve"> (ПМЛ) при применении метотрексата, в большинстве случаев при совместном применении с другими </w:t>
      </w:r>
      <w:proofErr w:type="spellStart"/>
      <w:r w:rsidRPr="00E16FAD">
        <w:rPr>
          <w:rFonts w:ascii="Times New Roman" w:eastAsia="Times New Roman" w:hAnsi="Times New Roman"/>
          <w:sz w:val="28"/>
          <w:szCs w:val="28"/>
        </w:rPr>
        <w:t>иммуносупрессивными</w:t>
      </w:r>
      <w:proofErr w:type="spellEnd"/>
      <w:r w:rsidRPr="00E16FAD">
        <w:rPr>
          <w:rFonts w:ascii="Times New Roman" w:eastAsia="Times New Roman" w:hAnsi="Times New Roman"/>
          <w:sz w:val="28"/>
          <w:szCs w:val="28"/>
        </w:rPr>
        <w:t xml:space="preserve"> лекарственными препаратами. ПМЛ может привести к летальному исходу. Врачам следует регулярно оценивать пациентов на наличие симптомов ПМЛ и проводить дифференциальную диагностику у пациентов с </w:t>
      </w:r>
      <w:r w:rsidRPr="00E16FAD">
        <w:rPr>
          <w:rFonts w:ascii="Times New Roman" w:eastAsia="Times New Roman" w:hAnsi="Times New Roman"/>
          <w:sz w:val="28"/>
          <w:szCs w:val="28"/>
        </w:rPr>
        <w:lastRenderedPageBreak/>
        <w:t>ослабленным иммунитетом при появлении новых или ухудшение имеющихся неврологических симптомов.</w:t>
      </w:r>
    </w:p>
    <w:p w14:paraId="7DB9498F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 xml:space="preserve">Одна доза данной лекарственной формы метотрексата содержит менее 1 ммоль натрия (23 мг), что позволяет считать </w:t>
      </w:r>
      <w:proofErr w:type="gramStart"/>
      <w:r w:rsidRPr="00E16FAD">
        <w:rPr>
          <w:rFonts w:ascii="Times New Roman" w:hAnsi="Times New Roman"/>
          <w:iCs/>
          <w:sz w:val="28"/>
          <w:szCs w:val="28"/>
        </w:rPr>
        <w:t>ее</w:t>
      </w:r>
      <w:proofErr w:type="gramEnd"/>
      <w:r w:rsidRPr="00E16FAD">
        <w:rPr>
          <w:rFonts w:ascii="Times New Roman" w:hAnsi="Times New Roman"/>
          <w:iCs/>
          <w:sz w:val="28"/>
          <w:szCs w:val="28"/>
        </w:rPr>
        <w:t xml:space="preserve"> не содержащей натрий.</w:t>
      </w:r>
    </w:p>
    <w:p w14:paraId="4847F506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  <w:r w:rsidRPr="00E16FAD">
        <w:rPr>
          <w:rFonts w:ascii="Times New Roman" w:hAnsi="Times New Roman"/>
          <w:i/>
          <w:sz w:val="28"/>
          <w:szCs w:val="28"/>
        </w:rPr>
        <w:t xml:space="preserve">Применение </w:t>
      </w:r>
      <w:r w:rsidRPr="00E16FAD">
        <w:rPr>
          <w:rFonts w:ascii="Times New Roman" w:hAnsi="Times New Roman"/>
          <w:i/>
          <w:sz w:val="28"/>
          <w:szCs w:val="28"/>
          <w:lang w:val="kk-KZ"/>
        </w:rPr>
        <w:t>у детей</w:t>
      </w:r>
    </w:p>
    <w:p w14:paraId="0B8FCD9C" w14:textId="77777777" w:rsidR="00392475" w:rsidRPr="00E16FAD" w:rsidRDefault="00392475" w:rsidP="00295D0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Использование препарата у детей младше 3 лет не рекомендуется из-за ограниченности данных о безопасности и эффективности препарата в данной возрастной группе.</w:t>
      </w:r>
    </w:p>
    <w:p w14:paraId="27B3F997" w14:textId="77777777" w:rsidR="00D43297" w:rsidRPr="00E16FAD" w:rsidRDefault="00D43297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>Во время беременности или лактации</w:t>
      </w:r>
    </w:p>
    <w:p w14:paraId="3E7AE115" w14:textId="59A4E686" w:rsidR="00AF1BB8" w:rsidRPr="00E16FAD" w:rsidRDefault="002F27A0" w:rsidP="00295D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sv-SE"/>
        </w:rPr>
      </w:pPr>
      <w:bookmarkStart w:id="5" w:name="_Hlk55491454"/>
      <w:r w:rsidRPr="00E16FAD">
        <w:rPr>
          <w:rFonts w:ascii="Times New Roman" w:hAnsi="Times New Roman"/>
          <w:i/>
          <w:sz w:val="28"/>
          <w:szCs w:val="28"/>
          <w:u w:val="single"/>
          <w:lang w:eastAsia="sv-SE"/>
        </w:rPr>
        <w:t>Женщины детородного возраста/</w:t>
      </w:r>
      <w:r w:rsidR="00AF1BB8" w:rsidRPr="00E16FAD">
        <w:rPr>
          <w:rFonts w:ascii="Times New Roman" w:hAnsi="Times New Roman"/>
          <w:i/>
          <w:sz w:val="28"/>
          <w:szCs w:val="28"/>
          <w:u w:val="single"/>
          <w:lang w:eastAsia="sv-SE"/>
        </w:rPr>
        <w:t>Контрацепция у женщин</w:t>
      </w:r>
    </w:p>
    <w:p w14:paraId="0B19CA8F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Женщинам следует избегать беременности во время терапии метотрексатом, должны использоваться эффективные методы контрацепции во время лечения метотрексатом и в течение, по меньшей мере, 6 месяцев после его завершения. Перед началом терапии женщины детородного возраста должны быть проинформированы о риске пороков развития плода, связанных с метотрексатом, и наличие беременности должно быть исключено с помощью соответствующих мер, например, теста на беременность. Во время лечения тесты на беременность следует повторять по мере необходимости (например, после любого перерыва в использовании контрацепции). Женщинам репродуктивного возраста следует проконсультироваться по вопросам предупреждения и планирования беременности.</w:t>
      </w:r>
    </w:p>
    <w:p w14:paraId="777C80F3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sv-SE"/>
        </w:rPr>
      </w:pPr>
      <w:r w:rsidRPr="00E16FAD">
        <w:rPr>
          <w:rFonts w:ascii="Times New Roman" w:hAnsi="Times New Roman"/>
          <w:i/>
          <w:sz w:val="28"/>
          <w:szCs w:val="28"/>
          <w:lang w:eastAsia="sv-SE"/>
        </w:rPr>
        <w:t>Контрацепция у мужчин</w:t>
      </w:r>
    </w:p>
    <w:p w14:paraId="7E6BE289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 xml:space="preserve">Неизвестно, присутствует ли метотрексат в сперме. Было показано, что </w:t>
      </w:r>
      <w:proofErr w:type="spellStart"/>
      <w:r w:rsidRPr="00E16FAD">
        <w:rPr>
          <w:rFonts w:ascii="Times New Roman" w:hAnsi="Times New Roman"/>
          <w:sz w:val="28"/>
          <w:szCs w:val="28"/>
          <w:lang w:eastAsia="sv-SE"/>
        </w:rPr>
        <w:t>метотрексат</w:t>
      </w:r>
      <w:proofErr w:type="spellEnd"/>
      <w:r w:rsidRPr="00E16FAD">
        <w:rPr>
          <w:rFonts w:ascii="Times New Roman" w:hAnsi="Times New Roman"/>
          <w:sz w:val="28"/>
          <w:szCs w:val="28"/>
          <w:lang w:eastAsia="sv-SE"/>
        </w:rPr>
        <w:t xml:space="preserve"> является </w:t>
      </w:r>
      <w:proofErr w:type="spellStart"/>
      <w:r w:rsidRPr="00E16FAD">
        <w:rPr>
          <w:rFonts w:ascii="Times New Roman" w:hAnsi="Times New Roman"/>
          <w:sz w:val="28"/>
          <w:szCs w:val="28"/>
          <w:lang w:eastAsia="sv-SE"/>
        </w:rPr>
        <w:t>генотоксичным</w:t>
      </w:r>
      <w:proofErr w:type="spellEnd"/>
      <w:r w:rsidRPr="00E16FAD">
        <w:rPr>
          <w:rFonts w:ascii="Times New Roman" w:hAnsi="Times New Roman"/>
          <w:sz w:val="28"/>
          <w:szCs w:val="28"/>
          <w:lang w:eastAsia="sv-SE"/>
        </w:rPr>
        <w:t xml:space="preserve"> в исследованиях на животных, поэтому риск </w:t>
      </w:r>
      <w:proofErr w:type="spellStart"/>
      <w:r w:rsidRPr="00E16FAD">
        <w:rPr>
          <w:rFonts w:ascii="Times New Roman" w:hAnsi="Times New Roman"/>
          <w:sz w:val="28"/>
          <w:szCs w:val="28"/>
          <w:lang w:eastAsia="sv-SE"/>
        </w:rPr>
        <w:t>генотоксического</w:t>
      </w:r>
      <w:proofErr w:type="spellEnd"/>
      <w:r w:rsidRPr="00E16FAD">
        <w:rPr>
          <w:rFonts w:ascii="Times New Roman" w:hAnsi="Times New Roman"/>
          <w:sz w:val="28"/>
          <w:szCs w:val="28"/>
          <w:lang w:eastAsia="sv-SE"/>
        </w:rPr>
        <w:t xml:space="preserve"> воздействия на сперматозоиды не может быть полностью исключен. Ограниченные клинические данные не указывают на повышенный риск пороков развития плода или выкидыша у женщин при воздействии низких доз метотрексата (менее 30 мг/неделю). В отношении более высоких доз недостаточно данных для оценки рисков пороков развития плода или выкидыша у женщин после воздействия на организм отца.</w:t>
      </w:r>
    </w:p>
    <w:p w14:paraId="0BDE9024" w14:textId="77777777" w:rsidR="00AF1BB8" w:rsidRPr="00E16FAD" w:rsidRDefault="00AF1BB8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В качестве профилактических мер сексуально активным пациентам мужского пола или их партнерам-женщинам рекомендуется использовать надежные методы контрацепции во время лечения партнера мужского пола и в течение как минимум 6 месяцев после прекращения применения метотрексата. Мужчины не должны быть донорами спермы во время терапии или в течение 6 месяцев после прекращения применения метотрексата.</w:t>
      </w:r>
    </w:p>
    <w:p w14:paraId="744C7DFB" w14:textId="77777777" w:rsidR="00AF1BB8" w:rsidRPr="00E16FAD" w:rsidRDefault="00AF1BB8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bidi="ru-RU"/>
        </w:rPr>
      </w:pPr>
      <w:r w:rsidRPr="00E16FAD">
        <w:rPr>
          <w:rFonts w:ascii="Times New Roman" w:hAnsi="Times New Roman"/>
          <w:i/>
          <w:sz w:val="28"/>
          <w:szCs w:val="28"/>
          <w:lang w:bidi="ru-RU"/>
        </w:rPr>
        <w:t>Беременность</w:t>
      </w:r>
    </w:p>
    <w:p w14:paraId="3589FC46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Метотрексат противопоказан во время беременности при неонкологических показаниях (</w:t>
      </w:r>
      <w:r w:rsidRPr="00E16FAD">
        <w:rPr>
          <w:rFonts w:ascii="Times New Roman" w:hAnsi="Times New Roman"/>
          <w:sz w:val="28"/>
          <w:szCs w:val="28"/>
        </w:rPr>
        <w:t>см. раздел «Противопоказания»</w:t>
      </w:r>
      <w:r w:rsidRPr="00E16FAD">
        <w:rPr>
          <w:rFonts w:ascii="Times New Roman" w:hAnsi="Times New Roman"/>
          <w:sz w:val="28"/>
          <w:szCs w:val="28"/>
          <w:lang w:eastAsia="sv-SE"/>
        </w:rPr>
        <w:t xml:space="preserve">). Если беременность наступает во время лечения метотрексатом и в период до шести месяцев после завершения лечения, пациентке необходима медицинская консультация относительно риска вредного воздействия на </w:t>
      </w:r>
      <w:r w:rsidRPr="00E16FAD">
        <w:rPr>
          <w:rFonts w:ascii="Times New Roman" w:hAnsi="Times New Roman"/>
          <w:sz w:val="28"/>
          <w:szCs w:val="28"/>
          <w:lang w:eastAsia="sv-SE"/>
        </w:rPr>
        <w:lastRenderedPageBreak/>
        <w:t>ребенка, связанного с лечением, следует провести ультразвуковое исследование для подтверждения нормального развития плода.</w:t>
      </w:r>
    </w:p>
    <w:p w14:paraId="099FC719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В исследованиях на животных метотрексат показал репродуктивную токсичность, особенно в течение первого триместра.</w:t>
      </w:r>
    </w:p>
    <w:p w14:paraId="51A5D05D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 xml:space="preserve">Было показано, что метотрексат является тератогенным для человека; сообщалось, что он вызывает гибель плода, выкидыши и/или врожденные пороки развития (например, черепно-лицевые, </w:t>
      </w:r>
      <w:proofErr w:type="gramStart"/>
      <w:r w:rsidRPr="00E16FAD">
        <w:rPr>
          <w:rFonts w:ascii="Times New Roman" w:hAnsi="Times New Roman"/>
          <w:sz w:val="28"/>
          <w:szCs w:val="28"/>
          <w:lang w:eastAsia="sv-SE"/>
        </w:rPr>
        <w:t>сердечно-сосудистые</w:t>
      </w:r>
      <w:proofErr w:type="gramEnd"/>
      <w:r w:rsidRPr="00E16FAD">
        <w:rPr>
          <w:rFonts w:ascii="Times New Roman" w:hAnsi="Times New Roman"/>
          <w:sz w:val="28"/>
          <w:szCs w:val="28"/>
          <w:lang w:eastAsia="sv-SE"/>
        </w:rPr>
        <w:t xml:space="preserve">, нарушения развития центральной нервной системы и пороки развития конечностей). </w:t>
      </w:r>
    </w:p>
    <w:p w14:paraId="61376829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 xml:space="preserve">Метотрексат является мощным человеческим </w:t>
      </w:r>
      <w:proofErr w:type="spellStart"/>
      <w:r w:rsidRPr="00E16FAD">
        <w:rPr>
          <w:rFonts w:ascii="Times New Roman" w:hAnsi="Times New Roman"/>
          <w:sz w:val="28"/>
          <w:szCs w:val="28"/>
          <w:lang w:eastAsia="sv-SE"/>
        </w:rPr>
        <w:t>тератогеном</w:t>
      </w:r>
      <w:proofErr w:type="spellEnd"/>
      <w:r w:rsidRPr="00E16FAD">
        <w:rPr>
          <w:rFonts w:ascii="Times New Roman" w:hAnsi="Times New Roman"/>
          <w:sz w:val="28"/>
          <w:szCs w:val="28"/>
          <w:lang w:eastAsia="sv-SE"/>
        </w:rPr>
        <w:t>, вызывающим повышенный риск спонтанных абортов, внутриутробного ограничения роста и врожденных пороков развития в случае воздействия во время беременности.</w:t>
      </w:r>
    </w:p>
    <w:p w14:paraId="25A3C7B6" w14:textId="1E35AB29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• Сообщал</w:t>
      </w:r>
      <w:r w:rsidR="002F27A0" w:rsidRPr="00E16FAD">
        <w:rPr>
          <w:rFonts w:ascii="Times New Roman" w:hAnsi="Times New Roman"/>
          <w:sz w:val="28"/>
          <w:szCs w:val="28"/>
          <w:lang w:eastAsia="sv-SE"/>
        </w:rPr>
        <w:t>ось о спонтанных абортах у 42.5</w:t>
      </w:r>
      <w:r w:rsidRPr="00E16FAD">
        <w:rPr>
          <w:rFonts w:ascii="Times New Roman" w:hAnsi="Times New Roman"/>
          <w:sz w:val="28"/>
          <w:szCs w:val="28"/>
          <w:lang w:eastAsia="sv-SE"/>
        </w:rPr>
        <w:t xml:space="preserve">% беременных женщин, подвергшихся воздействию низких доз метотрексата (менее 30 </w:t>
      </w:r>
      <w:r w:rsidR="002F27A0" w:rsidRPr="00E16FAD">
        <w:rPr>
          <w:rFonts w:ascii="Times New Roman" w:hAnsi="Times New Roman"/>
          <w:sz w:val="28"/>
          <w:szCs w:val="28"/>
          <w:lang w:eastAsia="sv-SE"/>
        </w:rPr>
        <w:t>мг/неделю), по сравнению с 22.5</w:t>
      </w:r>
      <w:r w:rsidRPr="00E16FAD">
        <w:rPr>
          <w:rFonts w:ascii="Times New Roman" w:hAnsi="Times New Roman"/>
          <w:sz w:val="28"/>
          <w:szCs w:val="28"/>
          <w:lang w:eastAsia="sv-SE"/>
        </w:rPr>
        <w:t>% у пациентов, которым назначали лекарственные препараты, отличные от метотрексата.</w:t>
      </w:r>
    </w:p>
    <w:p w14:paraId="17314A4A" w14:textId="46B7B2C3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 xml:space="preserve">• Серьезные </w:t>
      </w:r>
      <w:r w:rsidR="002F27A0" w:rsidRPr="00E16FAD">
        <w:rPr>
          <w:rFonts w:ascii="Times New Roman" w:hAnsi="Times New Roman"/>
          <w:sz w:val="28"/>
          <w:szCs w:val="28"/>
          <w:lang w:eastAsia="sv-SE"/>
        </w:rPr>
        <w:t>пороки развития возникали у 6.6</w:t>
      </w:r>
      <w:r w:rsidRPr="00E16FAD">
        <w:rPr>
          <w:rFonts w:ascii="Times New Roman" w:hAnsi="Times New Roman"/>
          <w:sz w:val="28"/>
          <w:szCs w:val="28"/>
          <w:lang w:eastAsia="sv-SE"/>
        </w:rPr>
        <w:t>% живых новорожденных у женщин, подвергавшихся воздействию низких доз метотрексата (менее 30 мг/неделю) во время беременн</w:t>
      </w:r>
      <w:r w:rsidR="002F27A0" w:rsidRPr="00E16FAD">
        <w:rPr>
          <w:rFonts w:ascii="Times New Roman" w:hAnsi="Times New Roman"/>
          <w:sz w:val="28"/>
          <w:szCs w:val="28"/>
          <w:lang w:eastAsia="sv-SE"/>
        </w:rPr>
        <w:t>ости, по сравнению с примерно 4</w:t>
      </w:r>
      <w:r w:rsidRPr="00E16FAD">
        <w:rPr>
          <w:rFonts w:ascii="Times New Roman" w:hAnsi="Times New Roman"/>
          <w:sz w:val="28"/>
          <w:szCs w:val="28"/>
          <w:lang w:eastAsia="sv-SE"/>
        </w:rPr>
        <w:t>% живых новорожденных у пациенток, которые получали лекарственные препараты, отличные от метотрексата.</w:t>
      </w:r>
    </w:p>
    <w:p w14:paraId="58FBC310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Получено недостаточно данных относительно воздействия метотрексата в дозах выше 30 мг/неделю во время беременности, но ожидается более высокая частота возникновения спонтанных абортов и врожденных пороков развития.</w:t>
      </w:r>
    </w:p>
    <w:p w14:paraId="4D770FE8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>При прекращении терапии до зачатия, сообщалось о нормальном течении беременности.</w:t>
      </w:r>
    </w:p>
    <w:p w14:paraId="6BAA21FA" w14:textId="77777777" w:rsidR="00AF1BB8" w:rsidRPr="00E16FAD" w:rsidRDefault="005E108E" w:rsidP="00295D0C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 w:bidi="ru-RU"/>
        </w:rPr>
      </w:pPr>
      <w:r w:rsidRPr="00E16FAD">
        <w:rPr>
          <w:rFonts w:ascii="Times New Roman" w:hAnsi="Times New Roman"/>
          <w:i/>
          <w:sz w:val="28"/>
          <w:szCs w:val="28"/>
          <w:lang w:val="kk-KZ" w:bidi="ru-RU"/>
        </w:rPr>
        <w:t>Кормление грудью</w:t>
      </w:r>
    </w:p>
    <w:p w14:paraId="78E666D5" w14:textId="79EE54AA" w:rsidR="00AF1BB8" w:rsidRPr="00E16FAD" w:rsidRDefault="00AF1BB8" w:rsidP="00295D0C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  <w:lang w:bidi="ru-RU"/>
        </w:rPr>
        <w:t xml:space="preserve">Метотрексат проникает в грудное молоко человека. Поскольку метотрексат может вызывать серьезные нежелательные реакции у детей, находящихся на грудном вскармливании, </w:t>
      </w:r>
      <w:r w:rsidR="00B335F5" w:rsidRPr="00E16FAD">
        <w:rPr>
          <w:rFonts w:ascii="Times New Roman" w:hAnsi="Times New Roman"/>
          <w:sz w:val="28"/>
          <w:szCs w:val="28"/>
          <w:lang w:val="kk-KZ"/>
        </w:rPr>
        <w:t>Метофил</w:t>
      </w:r>
      <w:r w:rsidRPr="00E16FAD">
        <w:rPr>
          <w:rFonts w:ascii="Times New Roman" w:hAnsi="Times New Roman"/>
          <w:sz w:val="28"/>
          <w:szCs w:val="28"/>
          <w:lang w:bidi="ru-RU"/>
        </w:rPr>
        <w:t xml:space="preserve"> противопоказан в период грудного вскармливания (см. раздел Противопоказания). Поэтому перед началом и во время применения препарата следует прекратить грудное вскармливание.</w:t>
      </w:r>
    </w:p>
    <w:p w14:paraId="3A03F2B0" w14:textId="77777777" w:rsidR="00AF1BB8" w:rsidRPr="00E16FAD" w:rsidRDefault="00AF1BB8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>Фертильность</w:t>
      </w:r>
    </w:p>
    <w:p w14:paraId="448226C6" w14:textId="77777777" w:rsidR="00AF1BB8" w:rsidRPr="00E16FAD" w:rsidRDefault="00AF1BB8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sv-SE"/>
        </w:rPr>
      </w:pPr>
      <w:r w:rsidRPr="00E16FAD">
        <w:rPr>
          <w:rFonts w:ascii="Times New Roman" w:hAnsi="Times New Roman"/>
          <w:sz w:val="28"/>
          <w:szCs w:val="28"/>
          <w:lang w:eastAsia="sv-SE"/>
        </w:rPr>
        <w:t xml:space="preserve">Метотрексат влияет на сперматогенез и оогенез и может снижать фертильность. Сообщалось, что у человека </w:t>
      </w:r>
      <w:proofErr w:type="spellStart"/>
      <w:r w:rsidRPr="00E16FAD">
        <w:rPr>
          <w:rFonts w:ascii="Times New Roman" w:hAnsi="Times New Roman"/>
          <w:sz w:val="28"/>
          <w:szCs w:val="28"/>
          <w:lang w:eastAsia="sv-SE"/>
        </w:rPr>
        <w:t>метотрексат</w:t>
      </w:r>
      <w:proofErr w:type="spellEnd"/>
      <w:r w:rsidRPr="00E16FAD">
        <w:rPr>
          <w:rFonts w:ascii="Times New Roman" w:hAnsi="Times New Roman"/>
          <w:sz w:val="28"/>
          <w:szCs w:val="28"/>
          <w:lang w:eastAsia="sv-SE"/>
        </w:rPr>
        <w:t xml:space="preserve"> вызывает </w:t>
      </w:r>
      <w:proofErr w:type="spellStart"/>
      <w:r w:rsidRPr="00E16FAD">
        <w:rPr>
          <w:rFonts w:ascii="Times New Roman" w:hAnsi="Times New Roman"/>
          <w:sz w:val="28"/>
          <w:szCs w:val="28"/>
          <w:lang w:eastAsia="sv-SE"/>
        </w:rPr>
        <w:t>олигоспермию</w:t>
      </w:r>
      <w:proofErr w:type="spellEnd"/>
      <w:r w:rsidRPr="00E16FAD">
        <w:rPr>
          <w:rFonts w:ascii="Times New Roman" w:hAnsi="Times New Roman"/>
          <w:sz w:val="28"/>
          <w:szCs w:val="28"/>
          <w:lang w:eastAsia="sv-SE"/>
        </w:rPr>
        <w:t>, менструальную дисфункцию и аменорею. Эти эффекты, в большинстве случаев, являются обратимыми после прекращения терапии.</w:t>
      </w:r>
    </w:p>
    <w:p w14:paraId="501655CB" w14:textId="77777777" w:rsidR="008C7244" w:rsidRPr="00E16FAD" w:rsidRDefault="008C7244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proofErr w:type="spellStart"/>
      <w:r w:rsidRPr="00E16FAD">
        <w:rPr>
          <w:rFonts w:ascii="Times New Roman" w:hAnsi="Times New Roman"/>
          <w:iCs/>
          <w:sz w:val="28"/>
          <w:szCs w:val="28"/>
        </w:rPr>
        <w:t>Метотрексат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 вызывает </w:t>
      </w:r>
      <w:proofErr w:type="spellStart"/>
      <w:r w:rsidRPr="00E16FAD">
        <w:rPr>
          <w:rFonts w:ascii="Times New Roman" w:hAnsi="Times New Roman"/>
          <w:iCs/>
          <w:sz w:val="28"/>
          <w:szCs w:val="28"/>
        </w:rPr>
        <w:t>эмбриотоксичность</w:t>
      </w:r>
      <w:proofErr w:type="spellEnd"/>
      <w:r w:rsidRPr="00E16FAD">
        <w:rPr>
          <w:rFonts w:ascii="Times New Roman" w:hAnsi="Times New Roman"/>
          <w:iCs/>
          <w:sz w:val="28"/>
          <w:szCs w:val="28"/>
        </w:rPr>
        <w:t xml:space="preserve">, аборты и пороки развития плода у человека. Следовательно, возможные риски в отношении репродуктивной функции, прерывания беременности и врожденных пороков развития следует обсудить с женщинами детородного возраста. Перед применением метотрексата необходимо подтвердить отсутствие </w:t>
      </w:r>
      <w:r w:rsidRPr="00E16FAD">
        <w:rPr>
          <w:rFonts w:ascii="Times New Roman" w:hAnsi="Times New Roman"/>
          <w:iCs/>
          <w:sz w:val="28"/>
          <w:szCs w:val="28"/>
        </w:rPr>
        <w:lastRenderedPageBreak/>
        <w:t>беременности.</w:t>
      </w:r>
    </w:p>
    <w:p w14:paraId="03E61AC0" w14:textId="77777777" w:rsidR="008C7244" w:rsidRPr="00E16FAD" w:rsidRDefault="008C7244" w:rsidP="00295D0C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E16FAD">
        <w:rPr>
          <w:rFonts w:ascii="Times New Roman" w:hAnsi="Times New Roman"/>
          <w:iCs/>
          <w:sz w:val="28"/>
          <w:szCs w:val="28"/>
        </w:rPr>
        <w:t>Во время лечения, а также в течение, по меньшей мере, шести месяцев после прекращения терапии женщинам детородного возраста необходимо использовать эффективные методы контрацепции.</w:t>
      </w:r>
    </w:p>
    <w:bookmarkEnd w:id="5"/>
    <w:p w14:paraId="2D9CEE99" w14:textId="77777777" w:rsidR="00FA4F7C" w:rsidRPr="00E16FAD" w:rsidRDefault="00FA4F7C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14:paraId="787A3BEB" w14:textId="77777777" w:rsidR="007D0E84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6" w:name="_Hlk55491496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Поскольку в ходе терапии метотрексатом вероятно развитие симптомов со стороны центральной нервной системы (ощущение усталости, головокружение), метотрексат считается лекарственным средством, оказывающим </w:t>
      </w:r>
      <w:proofErr w:type="gram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от</w:t>
      </w:r>
      <w:proofErr w:type="gram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небольшого до умеренного действия на способность к управлению автомобилем и потенциально опасными механизмами.</w:t>
      </w:r>
    </w:p>
    <w:bookmarkEnd w:id="6"/>
    <w:p w14:paraId="0459AC7F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3B3D01" w14:textId="77777777" w:rsidR="00DB406A" w:rsidRPr="00E16FAD" w:rsidRDefault="00DB406A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Рекомендации по применению</w:t>
      </w:r>
    </w:p>
    <w:p w14:paraId="1EA04A66" w14:textId="77777777" w:rsidR="005C4B12" w:rsidRPr="00E16FAD" w:rsidRDefault="00DB406A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7" w:name="2175220274"/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Режим дозирования</w:t>
      </w:r>
      <w:r w:rsidR="00617843"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690BEC3C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bookmarkStart w:id="8" w:name="_Hlk55546358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Метотрексат должен назначаться только врачами, имеющими опыт применения метотрексата и полное понимание рисков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лечения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метотрексатом.</w:t>
      </w:r>
    </w:p>
    <w:p w14:paraId="0972AB9E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Введение препарата должно регулярно проводиться медицинскими работниками</w:t>
      </w:r>
    </w:p>
    <w:p w14:paraId="0F2E7C81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Если позволяет клиническая ситуация, лечащий врач может в отдельных случаях делегировать подкожное введение самому пациенту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.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Пациенты должны быть обучены правильной технике инъекций при самостоятельном введении метотрексата. Первую инъекцию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препарата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Метофил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следует проводить под непосредственным наблюдением врача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.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Метотрексат вводят один раз в неделю.</w:t>
      </w:r>
    </w:p>
    <w:p w14:paraId="056B2BDF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Пациент должен быть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обязательно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проинформирован о факте введения препарата один раз в неделю. Рекомендуется назначить определенный день недели для инъекции.</w:t>
      </w:r>
    </w:p>
    <w:p w14:paraId="7B7EB6AA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Элиминация метотрексата снижается у пациентов с третьим пространством распределения (асцит, плевральный выпот). Такие пациенты требуют особенно тщательного мониторинга на предмет токсичности и требуют снижения дозы или, в некоторых случаях, прекращения приема метотрексата.</w:t>
      </w:r>
    </w:p>
    <w:p w14:paraId="4732A1DA" w14:textId="77777777" w:rsidR="00853988" w:rsidRPr="00E16FAD" w:rsidRDefault="0085398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Препарат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Метофил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следует применять только один раз в неделю для лечения ревматоидного артрита, ювенильного артрита,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псориатического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артрита, псориаза, болезни Крона. Ошибки в дозировке при применении препарата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Метофил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могут привести к серьезным побочным реакциям, включая смерть. Пожалуйста, внимательно прочитайте этот раздел краткого описания характеристик продукта.</w:t>
      </w:r>
    </w:p>
    <w:p w14:paraId="31172F06" w14:textId="77777777" w:rsidR="000D2F22" w:rsidRPr="00E16FAD" w:rsidRDefault="000D2F22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Взрослые пациенты с ревматоидным артритом:</w:t>
      </w:r>
    </w:p>
    <w:p w14:paraId="6173C06F" w14:textId="77777777" w:rsidR="000D2F22" w:rsidRPr="00E16FAD" w:rsidRDefault="000D2F22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Рекомендуемая начальная доза составляет 7.5 мг метотрексата </w:t>
      </w:r>
      <w:r w:rsidRPr="00E16F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 раз в неделю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подкожно, внутримышечно или внутривенно. В зависимости от выраженности заболевания и переносимости метотрексата пациентом доза может быть постепенно увеличена (по 2.5 мг в неделю). Максимальная доза, в целом, не должна превышать 25 мг в неделю. Дозы, превышающие </w:t>
      </w:r>
    </w:p>
    <w:p w14:paraId="30AA5890" w14:textId="747AA729" w:rsidR="000D2F22" w:rsidRPr="00E16FAD" w:rsidRDefault="000D2F22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>20 мг/неделю, сопровождаются значительным увеличением частоты токсических эффектов, особенно, угнетением функции кроветворения. Ответ на леч</w:t>
      </w:r>
      <w:r w:rsidR="002F27A0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ение обычно наступает через 4-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8 недель после начала применения препарата. После достижения желаемого ответа следует начинать снижение дозы до наиболее низкой эффективной поддерживающей дозы.</w:t>
      </w:r>
    </w:p>
    <w:p w14:paraId="121457EB" w14:textId="523D4589" w:rsidR="000D2F22" w:rsidRPr="00E16FAD" w:rsidRDefault="000D2F22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Дети и подростки до 16 лет с </w:t>
      </w:r>
      <w:proofErr w:type="spellStart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полиартритными</w:t>
      </w:r>
      <w:proofErr w:type="spellEnd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формами ювенильного хронического артрита:</w:t>
      </w:r>
    </w:p>
    <w:p w14:paraId="33606039" w14:textId="77777777" w:rsidR="00B335F5" w:rsidRPr="00E16FAD" w:rsidRDefault="00B335F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Дети с площадью поверхности тела менее 0,75 м</w:t>
      </w:r>
      <w:proofErr w:type="gramStart"/>
      <w:r w:rsidRPr="00E16FAD"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ru-RU"/>
        </w:rPr>
        <w:t>2</w:t>
      </w:r>
      <w:proofErr w:type="gram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не могут быть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пролечены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этим п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репаратом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 Если требуются более низкие дозы, чем 7,5 мг, следует использовать другой медицинский препарат.</w:t>
      </w:r>
    </w:p>
    <w:p w14:paraId="03F32CC2" w14:textId="1DBFC437" w:rsidR="00B335F5" w:rsidRPr="00E16FAD" w:rsidRDefault="00B335F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Рекомендуемая до</w:t>
      </w:r>
      <w:r w:rsidR="002F27A0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за метотрексата составляет 10-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 мг/м</w:t>
      </w:r>
      <w:proofErr w:type="gramStart"/>
      <w:r w:rsidRPr="00E16FAD">
        <w:rPr>
          <w:rFonts w:ascii="Times New Roman" w:eastAsia="Times New Roman" w:hAnsi="Times New Roman"/>
          <w:bCs/>
          <w:iCs/>
          <w:sz w:val="28"/>
          <w:szCs w:val="28"/>
          <w:vertAlign w:val="superscript"/>
          <w:lang w:eastAsia="ru-RU"/>
        </w:rPr>
        <w:t>2</w:t>
      </w:r>
      <w:proofErr w:type="gram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поверхности тела </w:t>
      </w:r>
      <w:r w:rsidRPr="00E16F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один раз в неделю.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При недостаточной эффективности лечения доза может быть увеличена вплоть до 20 мг/м</w:t>
      </w:r>
      <w:proofErr w:type="gram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proofErr w:type="gram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поверхности тела </w:t>
      </w:r>
      <w:r w:rsidRPr="00E16FA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один раз в неделю.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Однако</w:t>
      </w:r>
      <w:proofErr w:type="gram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proofErr w:type="gram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увеличение дозы лекарственного средства требует увеличения частоты врачебных осмотров.</w:t>
      </w:r>
      <w:r w:rsidR="00B00DD8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Пациенты с ювенильным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идиопатическим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артритом должны наблюдаться у ревматолога, специализирующегося в терапии детей и подростков.</w:t>
      </w:r>
    </w:p>
    <w:p w14:paraId="2308BAFC" w14:textId="77777777" w:rsidR="00B335F5" w:rsidRPr="00E16FAD" w:rsidRDefault="00B335F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Использование препарата у детей младше 3 лет не рекомендуется из-за ограниченности данных о безопасности и эффективности препарата в данной возрастной группе.</w:t>
      </w:r>
    </w:p>
    <w:p w14:paraId="33E32BD6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Пациенты с псориазом и </w:t>
      </w:r>
      <w:proofErr w:type="spellStart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псориатическим</w:t>
      </w:r>
      <w:proofErr w:type="spellEnd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артритом:</w:t>
      </w:r>
    </w:p>
    <w:p w14:paraId="1360443A" w14:textId="158CBDE4" w:rsidR="00B335F5" w:rsidRPr="00E16FAD" w:rsidRDefault="00B335F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За неделю до начала лечения рекомендуется ввести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парентерально</w:t>
      </w:r>
      <w:r w:rsidR="002F27A0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тест-дозу 5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-10 мг метотрексата для выявления идиосинкразических нежелательных реакций. Рекомендуемая начальная доза - 7.5 мг метотрексата 1 раз в неделю подкожно. Дозу следует постепенно увеличивать, при этом максимальная доза в большинстве случаев не должна превышать 25 мг метотрексата в неделю. В целом, дозы, превышающие 20 мг, сопровождаются значительным увеличением частоты токсических эффектов, особенно, угнетением функции кроветворения. Ответ на леч</w:t>
      </w:r>
      <w:r w:rsidR="002F27A0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ение обычно наступает через 2-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6 недель после начала применения препарата. После достижения желаемого ответа доза должна быть снижена до наиболее низкой эффективной поддерживающей дозы.</w:t>
      </w:r>
    </w:p>
    <w:p w14:paraId="38579017" w14:textId="77777777" w:rsidR="00B00DD8" w:rsidRPr="00E16FAD" w:rsidRDefault="00B00DD8" w:rsidP="00B00DD8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Максимальная еженедельная доза</w:t>
      </w:r>
    </w:p>
    <w:p w14:paraId="6F262DF9" w14:textId="77777777" w:rsidR="00B335F5" w:rsidRPr="00E16FAD" w:rsidRDefault="00B335F5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 необходимости, доза может быть увеличена, но, в целом, не должна превышать максимальную рекомендуемую недельную дозу 25 мг. В некоторых исключительных случаях более высокая доза может быть клинически оправдана, но она не должна превышать максимальную еженедельную дозу метотрексата 30 мг ввиду существенного повышения токсичности.</w:t>
      </w:r>
    </w:p>
    <w:p w14:paraId="4FAD14B5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Пациенты с болезнью Крона</w:t>
      </w: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</w:p>
    <w:p w14:paraId="3E004037" w14:textId="0F642372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Индукция ремиссии: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25 мг в неделю подкожно.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Ответ на терапию ожидается </w:t>
      </w:r>
      <w:r w:rsidR="00041028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приблизительно через 8-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12 недель.</w:t>
      </w:r>
    </w:p>
    <w:p w14:paraId="2AAC5D5E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Поддерживающая терапия: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 xml:space="preserve">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15 мг в неделю подкожно.</w:t>
      </w:r>
    </w:p>
    <w:p w14:paraId="31869B64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Опыт применения у детей недостаточен для рекомендации использования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метотрексата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для терапии болезни Крона в данной популяции.</w:t>
      </w:r>
    </w:p>
    <w:p w14:paraId="140426AB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Пациенты с нарушением функции почек</w:t>
      </w:r>
    </w:p>
    <w:p w14:paraId="7E4C31B4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Метотрексат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должен применяться с осторожностью у пациентов с нарушением функции почек. В зависимости от значения клиренса креатинина дозу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метотрексата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следует скорректировать в соответствии с нижеследующей таблицей: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5"/>
        <w:gridCol w:w="5758"/>
      </w:tblGrid>
      <w:tr w:rsidR="007123A8" w:rsidRPr="00E16FAD" w14:paraId="6A1EA70D" w14:textId="77777777" w:rsidTr="008D4DE2">
        <w:trPr>
          <w:trHeight w:val="653"/>
          <w:jc w:val="center"/>
        </w:trPr>
        <w:tc>
          <w:tcPr>
            <w:tcW w:w="3205" w:type="dxa"/>
          </w:tcPr>
          <w:p w14:paraId="4C1BC073" w14:textId="77777777" w:rsidR="007123A8" w:rsidRPr="00E16FAD" w:rsidRDefault="007123A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Клиренс креатинина, мл/мин</w:t>
            </w:r>
          </w:p>
        </w:tc>
        <w:tc>
          <w:tcPr>
            <w:tcW w:w="5758" w:type="dxa"/>
          </w:tcPr>
          <w:p w14:paraId="5FB2D192" w14:textId="77777777" w:rsidR="007123A8" w:rsidRPr="00E16FAD" w:rsidRDefault="007123A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Доза метотрексата (% от обычной дозы)</w:t>
            </w:r>
          </w:p>
        </w:tc>
      </w:tr>
      <w:tr w:rsidR="007123A8" w:rsidRPr="00E16FAD" w14:paraId="2219D8C4" w14:textId="77777777" w:rsidTr="008D4DE2">
        <w:trPr>
          <w:trHeight w:val="319"/>
          <w:jc w:val="center"/>
        </w:trPr>
        <w:tc>
          <w:tcPr>
            <w:tcW w:w="3205" w:type="dxa"/>
          </w:tcPr>
          <w:p w14:paraId="34FB95D5" w14:textId="03044A09" w:rsidR="007123A8" w:rsidRPr="00E16FAD" w:rsidRDefault="0004102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&gt;</w:t>
            </w:r>
            <w:r w:rsidR="007123A8"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758" w:type="dxa"/>
          </w:tcPr>
          <w:p w14:paraId="32AFECBD" w14:textId="4867A5D9" w:rsidR="007123A8" w:rsidRPr="00E16FAD" w:rsidRDefault="0004102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7123A8"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123A8" w:rsidRPr="00E16FAD" w14:paraId="2B38FB85" w14:textId="77777777" w:rsidTr="008D4DE2">
        <w:trPr>
          <w:trHeight w:val="319"/>
          <w:jc w:val="center"/>
        </w:trPr>
        <w:tc>
          <w:tcPr>
            <w:tcW w:w="3205" w:type="dxa"/>
          </w:tcPr>
          <w:p w14:paraId="549DA354" w14:textId="77777777" w:rsidR="007123A8" w:rsidRPr="00E16FAD" w:rsidRDefault="007123A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30-59</w:t>
            </w:r>
          </w:p>
        </w:tc>
        <w:tc>
          <w:tcPr>
            <w:tcW w:w="5758" w:type="dxa"/>
          </w:tcPr>
          <w:p w14:paraId="3E8FBC56" w14:textId="31905698" w:rsidR="007123A8" w:rsidRPr="00E16FAD" w:rsidRDefault="0004102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="007123A8"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</w:tr>
      <w:tr w:rsidR="007123A8" w:rsidRPr="00E16FAD" w14:paraId="60BD1C4F" w14:textId="77777777" w:rsidTr="008D4DE2">
        <w:trPr>
          <w:trHeight w:val="319"/>
          <w:jc w:val="center"/>
        </w:trPr>
        <w:tc>
          <w:tcPr>
            <w:tcW w:w="3205" w:type="dxa"/>
          </w:tcPr>
          <w:p w14:paraId="4415F3B5" w14:textId="44F1DCB7" w:rsidR="007123A8" w:rsidRPr="00E16FAD" w:rsidRDefault="0004102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&lt;</w:t>
            </w:r>
            <w:r w:rsidR="007123A8"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758" w:type="dxa"/>
          </w:tcPr>
          <w:p w14:paraId="19335128" w14:textId="77777777" w:rsidR="007123A8" w:rsidRPr="00E16FAD" w:rsidRDefault="007123A8" w:rsidP="00295D0C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Применение </w:t>
            </w:r>
            <w:r w:rsidRPr="00E16FAD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метотрексата</w:t>
            </w:r>
            <w:r w:rsidRPr="00E16F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противопоказано</w:t>
            </w:r>
          </w:p>
        </w:tc>
      </w:tr>
    </w:tbl>
    <w:p w14:paraId="51F3E60E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14CD7B62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Пациенты с нарушением функции печени</w:t>
      </w:r>
    </w:p>
    <w:p w14:paraId="2A031F57" w14:textId="6430FA33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 пациентов с выраженными заболеваниями печени в настоящее время или в анамнезе, особенно вызванными приемом алкоголя,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метотрексат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в случае целесообразности его применения, следует применять с большой осторожностью. При уровне билирубина</w:t>
      </w:r>
      <w:r w:rsidR="00041028"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&gt;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5 мг/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дл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(85,5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мкмоль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/л)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метотрексат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противопоказан. </w:t>
      </w:r>
    </w:p>
    <w:p w14:paraId="54D6240C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Пожилые пациенты</w:t>
      </w:r>
    </w:p>
    <w:p w14:paraId="3631B93A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Следует применять с осторожностью, нередко необходима коррекция дозы в сторону снижения из-за возрастного снижения функции печени и почек, а также пониженного запаса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фолатов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в организме.</w:t>
      </w:r>
    </w:p>
    <w:p w14:paraId="2C9BA9E2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Пациенты с патологическим накоплением жидкости в организме (плевральный выпот, асцит)</w:t>
      </w:r>
    </w:p>
    <w:p w14:paraId="6AD10556" w14:textId="77777777" w:rsidR="007123A8" w:rsidRPr="00E16FAD" w:rsidRDefault="007123A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Поскольку время полувыведения метотрексата может увеличиваться до 4 раз в сравнении с нормой, пациенты с наличием патологического скопления жидкости в организме нуждаются в снижении дозы, а в некоторых случаях, и в отмене терапии препаратом. </w:t>
      </w:r>
    </w:p>
    <w:bookmarkEnd w:id="7"/>
    <w:p w14:paraId="12DD7AC8" w14:textId="77777777" w:rsidR="007303E1" w:rsidRPr="00E16FAD" w:rsidRDefault="007303E1" w:rsidP="007303E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Меры, которые необходимо принять в случае передозировки</w:t>
      </w:r>
      <w:r w:rsidRPr="00E16FAD">
        <w:rPr>
          <w:rFonts w:ascii="Times New Roman" w:hAnsi="Times New Roman"/>
          <w:i/>
          <w:sz w:val="28"/>
          <w:szCs w:val="28"/>
        </w:rPr>
        <w:t xml:space="preserve"> </w:t>
      </w:r>
    </w:p>
    <w:p w14:paraId="328CE79D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Симптомы: токсическое действие метотрексата в основном проявляется со стороны системы кроветворения.</w:t>
      </w:r>
    </w:p>
    <w:p w14:paraId="629E4461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Лечение: кальция </w:t>
      </w:r>
      <w:proofErr w:type="spell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фолинат</w:t>
      </w:r>
      <w:proofErr w:type="spell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является специфическим антидотом для нейтрализации токсического действия метотрексата. При случайной передозировке – в течение первого часа после введения метотрексата должна быть введена внутривенно или внутримышечно доза кальция </w:t>
      </w:r>
      <w:proofErr w:type="spell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фолината</w:t>
      </w:r>
      <w:proofErr w:type="spell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равная или превышающая дозу метотрексата. Далее по мере необходимости введение кальция </w:t>
      </w:r>
      <w:proofErr w:type="spell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фолината</w:t>
      </w:r>
      <w:proofErr w:type="spell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 быть продолжено до достижения уровня метотрексата в сыворотке крови ниже 10</w:t>
      </w:r>
      <w:r w:rsidRPr="00E16FA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-7</w:t>
      </w: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моль/</w:t>
      </w:r>
      <w:proofErr w:type="gram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л</w:t>
      </w:r>
      <w:proofErr w:type="gram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6CB22EFA" w14:textId="77777777" w:rsidR="00A12563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случае значительной передозировки для предупреждения преципитации метотрексата и/или его метаболитов в почечных канальцах проводят гидратацию организма и подщелачивание мочи, что ускоряет выведение метотрексата. Гемодиализ и </w:t>
      </w:r>
      <w:proofErr w:type="spell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перитониальный</w:t>
      </w:r>
      <w:proofErr w:type="spell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диализ не ускоряют выведение метотрексата. Сообщалось об эффективности прерывистого </w:t>
      </w: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(периодического) гемодиализа с применением аппарата высокоскоростного диализа.</w:t>
      </w:r>
    </w:p>
    <w:p w14:paraId="0AC122B0" w14:textId="77777777" w:rsidR="007E4721" w:rsidRPr="00E16FAD" w:rsidRDefault="007E4721" w:rsidP="00295D0C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bookmarkStart w:id="9" w:name="2175220282"/>
      <w:bookmarkEnd w:id="8"/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Метод и путь введения</w:t>
      </w:r>
      <w:r w:rsidRPr="00E16FA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14:paraId="651D1E5B" w14:textId="5BEBA100" w:rsidR="00085B76" w:rsidRPr="00E16FAD" w:rsidRDefault="00085B76" w:rsidP="00085B76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Раствор метотрексата для инъекций вводят подкожно.</w:t>
      </w:r>
    </w:p>
    <w:p w14:paraId="2120508A" w14:textId="441B2E6B" w:rsidR="0029002A" w:rsidRPr="00E16FAD" w:rsidRDefault="0029002A" w:rsidP="00B75404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bookmarkStart w:id="10" w:name="_Hlk100567474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Применение </w:t>
      </w:r>
      <w:proofErr w:type="spellStart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Метофил</w:t>
      </w:r>
      <w:proofErr w:type="spellEnd"/>
    </w:p>
    <w:p w14:paraId="6FBE92F3" w14:textId="77777777" w:rsidR="0029002A" w:rsidRPr="00E16FAD" w:rsidRDefault="0029002A" w:rsidP="0029002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Наиболее подходящими местами для инъекций являются:</w:t>
      </w:r>
    </w:p>
    <w:p w14:paraId="7D1865CA" w14:textId="77777777" w:rsidR="0029002A" w:rsidRPr="00E16FAD" w:rsidRDefault="0029002A" w:rsidP="0029002A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верхняя часть бедра,</w:t>
      </w:r>
    </w:p>
    <w:p w14:paraId="7CE59DD2" w14:textId="120265AA" w:rsidR="0029002A" w:rsidRPr="00E16FAD" w:rsidRDefault="0029002A" w:rsidP="0029002A">
      <w:pPr>
        <w:numPr>
          <w:ilvl w:val="0"/>
          <w:numId w:val="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живот, за исключением области вокруг пупка.</w:t>
      </w:r>
    </w:p>
    <w:p w14:paraId="0FE47C06" w14:textId="77777777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1. Обработать место инъекции проспиртованным тампоном</w:t>
      </w:r>
    </w:p>
    <w:p w14:paraId="4B76BA09" w14:textId="77777777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ab/>
        <w:t>Снять с иглы защитную насадку.</w:t>
      </w:r>
    </w:p>
    <w:p w14:paraId="24CBCC87" w14:textId="77777777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ab/>
        <w:t>Кожу в месте предполагаемой инъекции собрать в складку.</w:t>
      </w:r>
    </w:p>
    <w:p w14:paraId="3972280B" w14:textId="77777777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ab/>
        <w:t>Складку нужно удерживать до окончания инъекции и извлечения шприца.</w:t>
      </w:r>
    </w:p>
    <w:p w14:paraId="6B76EF08" w14:textId="77777777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ab/>
        <w:t>Полностью ввести иглу в кожную складку под углом в 90°.</w:t>
      </w:r>
    </w:p>
    <w:p w14:paraId="4CBCF938" w14:textId="77777777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ab/>
        <w:t>Надавить на поршень и медленно ввести содержимое шприца под кожу до тех пор, пока не будет введена все содержимое шприца. Сохраняя давление на поршень, извлечь шприц под тем же углом в 90°.</w:t>
      </w:r>
      <w:r w:rsidRPr="00E16FAD">
        <w:rPr>
          <w:rFonts w:ascii="Times New Roman" w:hAnsi="Times New Roman"/>
          <w:sz w:val="28"/>
          <w:szCs w:val="28"/>
        </w:rPr>
        <w:t xml:space="preserve"> </w:t>
      </w:r>
    </w:p>
    <w:p w14:paraId="2758BF89" w14:textId="0102F2C5" w:rsidR="0029002A" w:rsidRPr="00E16FAD" w:rsidRDefault="0029002A" w:rsidP="0029002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AD">
        <w:rPr>
          <w:rFonts w:ascii="Times New Roman" w:hAnsi="Times New Roman"/>
          <w:sz w:val="28"/>
          <w:szCs w:val="28"/>
          <w:lang w:eastAsia="ru-RU"/>
        </w:rPr>
        <w:t>Предохранитель иглы прикроет иглу при отпускании плунжера. Защитный кожух иглы закрывает иглу после инъекции, чтобы предотвратить травму иглы. Это не влияет на нормальную работу шприца.</w:t>
      </w:r>
    </w:p>
    <w:p w14:paraId="56ACD3FE" w14:textId="66B429DD" w:rsidR="0029002A" w:rsidRPr="00E16FAD" w:rsidRDefault="0029002A" w:rsidP="00B75404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FAD">
        <w:rPr>
          <w:rFonts w:ascii="Times New Roman" w:hAnsi="Times New Roman"/>
          <w:sz w:val="28"/>
          <w:szCs w:val="28"/>
          <w:lang w:eastAsia="ru-RU"/>
        </w:rPr>
        <w:t>Пожалуйста, обратите внимание, что все содержимое шприца должно быть использовано: этот продукт не предназначен для доставки частичной дозы.</w:t>
      </w:r>
      <w:bookmarkEnd w:id="10"/>
    </w:p>
    <w:p w14:paraId="0FE28606" w14:textId="77777777" w:rsidR="00B75404" w:rsidRPr="00E16FAD" w:rsidRDefault="00B75404" w:rsidP="00B754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Общая продолжительность лечения определяется врачом.</w:t>
      </w:r>
    </w:p>
    <w:p w14:paraId="003C5EAA" w14:textId="77777777" w:rsidR="00B75404" w:rsidRPr="00E16FAD" w:rsidRDefault="00B75404" w:rsidP="00B754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Примечание:</w:t>
      </w:r>
    </w:p>
    <w:p w14:paraId="27084200" w14:textId="77777777" w:rsidR="00B75404" w:rsidRPr="00E16FAD" w:rsidRDefault="00B75404" w:rsidP="00B754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переходе от перорального к парентеральному введению может потребоваться снижение дозы из-за переменной биодоступности метотрексата после перорального введения.</w:t>
      </w:r>
    </w:p>
    <w:p w14:paraId="02D8D438" w14:textId="77777777" w:rsidR="00B75404" w:rsidRPr="00E16FAD" w:rsidRDefault="00B75404" w:rsidP="00B7540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Добавление фолиевой кислоты может быть рассмотрено в соответствии с действующими рекомендациями по лечению.</w:t>
      </w:r>
    </w:p>
    <w:p w14:paraId="2E4A887E" w14:textId="77777777" w:rsidR="00085B76" w:rsidRPr="00E16FAD" w:rsidRDefault="00085B76" w:rsidP="00085B76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6FAD">
        <w:rPr>
          <w:rFonts w:ascii="Times New Roman" w:hAnsi="Times New Roman"/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14:paraId="60EF9AF9" w14:textId="72DB0EF8" w:rsidR="00C54C79" w:rsidRPr="00E16FAD" w:rsidRDefault="00C54C79" w:rsidP="00C54C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Перед применением проконсультируйтесь с лечащим врачом.</w:t>
      </w:r>
    </w:p>
    <w:p w14:paraId="29461F8C" w14:textId="77777777" w:rsidR="007E4721" w:rsidRPr="00E16FAD" w:rsidRDefault="007E4721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234FAA1" w14:textId="77777777" w:rsidR="001937AD" w:rsidRPr="00E16FAD" w:rsidRDefault="001937AD" w:rsidP="00295D0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нежелательных реакций</w:t>
      </w:r>
      <w:r w:rsidR="005C4B12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E16FAD">
        <w:rPr>
          <w:rFonts w:ascii="Times New Roman" w:hAnsi="Times New Roman"/>
          <w:b/>
          <w:color w:val="000000"/>
          <w:sz w:val="28"/>
          <w:szCs w:val="28"/>
        </w:rPr>
        <w:t xml:space="preserve">которые проявляются при стандартном применении ЛП и меры, которые следует принять в этом случае </w:t>
      </w:r>
    </w:p>
    <w:p w14:paraId="457FB1E1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bookmarkStart w:id="11" w:name="_Hlk55546631"/>
      <w:bookmarkEnd w:id="9"/>
      <w:r w:rsidRPr="00E16FAD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Краткая характеристика профиля безопасности</w:t>
      </w:r>
    </w:p>
    <w:p w14:paraId="4ED7D1D7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Наиболее серьезные нежелательные реакции при применении метотрексата включают угнетение костного мозга, легочную токсичность,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гепатотоксичность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нефротоксичность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нейротоксичность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тромбоэмболические явления, анафилактический шок и синдром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Стивенса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-Джонсона.</w:t>
      </w:r>
    </w:p>
    <w:p w14:paraId="489A126D" w14:textId="77777777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Наиболее распространенными (очень часто) наблюдаемыми нежелательными реакциями при введении метотрексата являются 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lastRenderedPageBreak/>
        <w:t xml:space="preserve">нарушения со стороны желудочно-кишечного тракта, например, стоматит, диспепсия, боли в животе, тошнота, потеря аппетита, и отклонения функциональных проб печени, в частности, увеличение показателей АЛТ, АСТ, билирубина, щелочной фосфатазы. </w:t>
      </w:r>
      <w:proofErr w:type="gram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Другие распространенные (часто) нежелательные реакции включают лейкопению, анемию, тромбопению, головную боль, усталость, сонливость, пневмонию, интерстициальный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альвеолит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/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пневмонит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, часто в сочетании с </w:t>
      </w:r>
      <w:proofErr w:type="spellStart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эозинофилией</w:t>
      </w:r>
      <w:proofErr w:type="spellEnd"/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 язвы в полости рта, диарею, экзантему, эритему и зуд.</w:t>
      </w:r>
      <w:proofErr w:type="gramEnd"/>
    </w:p>
    <w:p w14:paraId="59C1B9F6" w14:textId="2326BD7B" w:rsidR="00AF1BB8" w:rsidRPr="00E16FAD" w:rsidRDefault="00AF1BB8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Наиболее значимыми нежелательными эффектами являются подавление системы кроветворения и нарушения со стороны желудочно-кишечного тракта.</w:t>
      </w:r>
    </w:p>
    <w:p w14:paraId="203FEA55" w14:textId="041E6308" w:rsidR="001141DC" w:rsidRPr="00E16FAD" w:rsidRDefault="001141DC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Cs/>
          <w:sz w:val="28"/>
          <w:szCs w:val="28"/>
          <w:lang w:val="kk-KZ" w:eastAsia="ru-RU"/>
        </w:rPr>
        <w:t>Другие</w:t>
      </w:r>
      <w:r w:rsidRPr="00E16FAD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побочные эффекты, которые могут возникнуть:</w:t>
      </w:r>
    </w:p>
    <w:bookmarkEnd w:id="11"/>
    <w:p w14:paraId="7807EE73" w14:textId="77777777" w:rsidR="001937AD" w:rsidRPr="00E16FAD" w:rsidRDefault="001937AD" w:rsidP="00295D0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Очень часто </w:t>
      </w:r>
    </w:p>
    <w:p w14:paraId="6353BB0B" w14:textId="77777777" w:rsidR="00935208" w:rsidRPr="00E16FAD" w:rsidRDefault="00C9099E" w:rsidP="00295D0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FAD">
        <w:rPr>
          <w:rFonts w:ascii="Times New Roman" w:hAnsi="Times New Roman"/>
          <w:sz w:val="28"/>
          <w:szCs w:val="28"/>
        </w:rPr>
        <w:t>отклонение показателей функции печени (повышение активности АЛТ, АСТ, щелочной фосфатазы и билирубина)</w:t>
      </w:r>
    </w:p>
    <w:p w14:paraId="1E3B8C36" w14:textId="77777777" w:rsidR="00935208" w:rsidRPr="00E16FAD" w:rsidRDefault="00935208" w:rsidP="00295D0C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стоматит, диспепсия, тошнота, потеря аппетита, боль в животе</w:t>
      </w:r>
    </w:p>
    <w:p w14:paraId="6D7EA6B7" w14:textId="77777777" w:rsidR="001937AD" w:rsidRPr="00E16FAD" w:rsidRDefault="001937AD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 xml:space="preserve">Часто </w:t>
      </w:r>
    </w:p>
    <w:p w14:paraId="2ECEB60A" w14:textId="77777777" w:rsidR="00935208" w:rsidRPr="00E16FAD" w:rsidRDefault="00935208" w:rsidP="00295D0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лейкопения, анемия, тромбоцитопения</w:t>
      </w:r>
    </w:p>
    <w:p w14:paraId="4B2A6557" w14:textId="77777777" w:rsidR="00935208" w:rsidRPr="00E16FAD" w:rsidRDefault="00935208" w:rsidP="00295D0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головная боль, утомляемость, сонливость</w:t>
      </w:r>
    </w:p>
    <w:p w14:paraId="347E8DED" w14:textId="77777777" w:rsidR="00935208" w:rsidRPr="00E16FAD" w:rsidRDefault="00935208" w:rsidP="00295D0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пневмония, </w:t>
      </w:r>
      <w:proofErr w:type="gramStart"/>
      <w:r w:rsidRPr="00E16FAD">
        <w:rPr>
          <w:rFonts w:ascii="Times New Roman" w:hAnsi="Times New Roman"/>
          <w:sz w:val="28"/>
          <w:szCs w:val="28"/>
        </w:rPr>
        <w:t>интерстициальный</w:t>
      </w:r>
      <w:proofErr w:type="gramEnd"/>
      <w:r w:rsidRPr="00E16FAD">
        <w:rPr>
          <w:rFonts w:ascii="Times New Roman" w:hAnsi="Times New Roman"/>
          <w:sz w:val="28"/>
          <w:szCs w:val="28"/>
        </w:rPr>
        <w:t xml:space="preserve"> альвеолит/пневмония часто с сопутствующей </w:t>
      </w:r>
      <w:proofErr w:type="spellStart"/>
      <w:r w:rsidRPr="00E16FAD">
        <w:rPr>
          <w:rFonts w:ascii="Times New Roman" w:hAnsi="Times New Roman"/>
          <w:sz w:val="28"/>
          <w:szCs w:val="28"/>
        </w:rPr>
        <w:t>эозинофилией</w:t>
      </w:r>
      <w:proofErr w:type="spellEnd"/>
      <w:r w:rsidRPr="00E16FAD">
        <w:rPr>
          <w:rFonts w:ascii="Times New Roman" w:hAnsi="Times New Roman"/>
          <w:sz w:val="28"/>
          <w:szCs w:val="28"/>
        </w:rPr>
        <w:t>. Симптомы потенциально тяжелой интерстициальной пневмонии: сухой непродуктивный кашель, одышка и лихорадка.</w:t>
      </w:r>
    </w:p>
    <w:p w14:paraId="76179656" w14:textId="77777777" w:rsidR="00935208" w:rsidRPr="00E16FAD" w:rsidRDefault="00935208" w:rsidP="00295D0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язвы в полости рта, диарея</w:t>
      </w:r>
    </w:p>
    <w:p w14:paraId="01EF47E6" w14:textId="77777777" w:rsidR="00935208" w:rsidRPr="00E16FAD" w:rsidRDefault="00935208" w:rsidP="00295D0C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экзантема, эритема, кожный зуд</w:t>
      </w:r>
    </w:p>
    <w:p w14:paraId="53A5F056" w14:textId="77777777" w:rsidR="00F40388" w:rsidRPr="00E16FAD" w:rsidRDefault="00F40388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 xml:space="preserve">Нечасто </w:t>
      </w:r>
    </w:p>
    <w:p w14:paraId="2001EC69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фарингит</w:t>
      </w:r>
    </w:p>
    <w:p w14:paraId="04D74879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панцитопения</w:t>
      </w:r>
    </w:p>
    <w:p w14:paraId="5203F2A4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дебют сахарного диабета</w:t>
      </w:r>
    </w:p>
    <w:p w14:paraId="7C806F9E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депрессия, спутанность сознания</w:t>
      </w:r>
    </w:p>
    <w:p w14:paraId="6646EBC5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головокружение</w:t>
      </w:r>
    </w:p>
    <w:p w14:paraId="49CFC9A5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цирроз, фиброз и жировое перерождение печени, снижение сывороточного альбумина</w:t>
      </w:r>
    </w:p>
    <w:p w14:paraId="43779A0E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язвы и кровотечение в желудочно-кишечном тракте, энтерит, рвота, панкреатит</w:t>
      </w:r>
    </w:p>
    <w:p w14:paraId="5E5DE021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воспаление и изъязвление мочевого пузыря, нарушение функции почек, нарушение мочеиспускания</w:t>
      </w:r>
    </w:p>
    <w:p w14:paraId="526C320C" w14:textId="44677F65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 xml:space="preserve">фотосенсибилизация, облысение, увеличение ревматических узлов, васкулит, </w:t>
      </w:r>
      <w:r w:rsidR="001141DC" w:rsidRPr="00E16FAD">
        <w:rPr>
          <w:rFonts w:ascii="Times New Roman" w:hAnsi="Times New Roman"/>
          <w:sz w:val="28"/>
          <w:szCs w:val="28"/>
          <w:lang w:val="kk-KZ"/>
        </w:rPr>
        <w:t>опоясывющий лишай</w:t>
      </w:r>
      <w:r w:rsidRPr="00E16FAD">
        <w:rPr>
          <w:rFonts w:ascii="Times New Roman" w:hAnsi="Times New Roman"/>
          <w:sz w:val="28"/>
          <w:szCs w:val="28"/>
          <w:lang w:val="kk-KZ"/>
        </w:rPr>
        <w:t>, кожные язвы, герпетиформные высыпания на коже, крапивница</w:t>
      </w:r>
    </w:p>
    <w:p w14:paraId="1BC8CAF5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воспаление и изъязвление влагалища</w:t>
      </w:r>
    </w:p>
    <w:p w14:paraId="011ECF42" w14:textId="77777777" w:rsidR="00935208" w:rsidRPr="00E16FAD" w:rsidRDefault="00935208" w:rsidP="00295D0C">
      <w:pPr>
        <w:numPr>
          <w:ilvl w:val="0"/>
          <w:numId w:val="3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kk-KZ"/>
        </w:rPr>
      </w:pPr>
      <w:r w:rsidRPr="00E16FAD">
        <w:rPr>
          <w:rFonts w:ascii="Times New Roman" w:hAnsi="Times New Roman"/>
          <w:sz w:val="28"/>
          <w:szCs w:val="28"/>
          <w:lang w:val="kk-KZ"/>
        </w:rPr>
        <w:t>артралгия, миалгия, остеопороз</w:t>
      </w:r>
    </w:p>
    <w:p w14:paraId="1601B793" w14:textId="77777777" w:rsidR="001937AD" w:rsidRPr="00E16FAD" w:rsidRDefault="001937AD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ru-RU"/>
        </w:rPr>
      </w:pPr>
      <w:r w:rsidRPr="00E16FAD">
        <w:rPr>
          <w:rFonts w:ascii="Times New Roman" w:hAnsi="Times New Roman"/>
          <w:i/>
          <w:sz w:val="28"/>
          <w:szCs w:val="28"/>
        </w:rPr>
        <w:t xml:space="preserve">Редко </w:t>
      </w:r>
    </w:p>
    <w:p w14:paraId="5AEC3667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lastRenderedPageBreak/>
        <w:t>инфекция (включая реактивацию неактивной хронической инфекции), сепсис, конъюнктивит</w:t>
      </w:r>
    </w:p>
    <w:p w14:paraId="32EFF502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аллергические реакции, анафилактический шок, </w:t>
      </w:r>
      <w:proofErr w:type="spellStart"/>
      <w:r w:rsidRPr="00E16FAD">
        <w:rPr>
          <w:rFonts w:ascii="Times New Roman" w:hAnsi="Times New Roman"/>
          <w:sz w:val="28"/>
          <w:szCs w:val="28"/>
        </w:rPr>
        <w:t>гипогаммаглобулинемия</w:t>
      </w:r>
      <w:proofErr w:type="spellEnd"/>
    </w:p>
    <w:p w14:paraId="3A9718F5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изменение настроения</w:t>
      </w:r>
    </w:p>
    <w:p w14:paraId="51A53091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расстройства зрения</w:t>
      </w:r>
    </w:p>
    <w:p w14:paraId="4945020B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перикардит, перикардиальный выпот, тампонада сердца</w:t>
      </w:r>
    </w:p>
    <w:p w14:paraId="776C31E4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гипотензия, тромбоэмболические явления</w:t>
      </w:r>
    </w:p>
    <w:p w14:paraId="0CC2E620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острый гепатит</w:t>
      </w:r>
    </w:p>
    <w:p w14:paraId="2C031B7D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легочный фиброз, легочный пневмоцистоз, одышка и бронхиальная астма, плевральный выпот</w:t>
      </w:r>
    </w:p>
    <w:p w14:paraId="0E42574A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гингивит</w:t>
      </w:r>
    </w:p>
    <w:p w14:paraId="221B734C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почечная недостаточность, олигурия, анурия, нарушения электролитного баланса</w:t>
      </w:r>
    </w:p>
    <w:p w14:paraId="1222F40B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повышенная пигментация, акне, петехии, экхимоз, </w:t>
      </w:r>
      <w:proofErr w:type="gramStart"/>
      <w:r w:rsidRPr="00E16FAD">
        <w:rPr>
          <w:rFonts w:ascii="Times New Roman" w:hAnsi="Times New Roman"/>
          <w:sz w:val="28"/>
          <w:szCs w:val="28"/>
        </w:rPr>
        <w:t>аллергический</w:t>
      </w:r>
      <w:proofErr w:type="gramEnd"/>
      <w:r w:rsidRPr="00E16FAD">
        <w:rPr>
          <w:rFonts w:ascii="Times New Roman" w:hAnsi="Times New Roman"/>
          <w:sz w:val="28"/>
          <w:szCs w:val="28"/>
        </w:rPr>
        <w:t xml:space="preserve"> васкулит</w:t>
      </w:r>
    </w:p>
    <w:p w14:paraId="61F8FDC5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лихорадка, ухудшение заживления ран</w:t>
      </w:r>
    </w:p>
    <w:p w14:paraId="282C5C1D" w14:textId="77777777" w:rsidR="00935208" w:rsidRPr="00E16FAD" w:rsidRDefault="00935208" w:rsidP="00295D0C">
      <w:pPr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компрессионный перелом</w:t>
      </w:r>
    </w:p>
    <w:p w14:paraId="48D68D71" w14:textId="77777777" w:rsidR="005C4B12" w:rsidRPr="00E16FAD" w:rsidRDefault="001937AD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>Очень редко</w:t>
      </w:r>
      <w:r w:rsidR="00620F34" w:rsidRPr="00E16FAD">
        <w:rPr>
          <w:rFonts w:ascii="Times New Roman" w:hAnsi="Times New Roman"/>
          <w:i/>
          <w:sz w:val="28"/>
          <w:szCs w:val="28"/>
        </w:rPr>
        <w:t xml:space="preserve"> </w:t>
      </w:r>
    </w:p>
    <w:p w14:paraId="69FCF7C6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лимфома</w:t>
      </w:r>
    </w:p>
    <w:p w14:paraId="28BA4AF6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агранулоцитоз, тяжелое угнетение функции костного мозга, </w:t>
      </w:r>
      <w:proofErr w:type="spellStart"/>
      <w:r w:rsidRPr="00E16FAD">
        <w:rPr>
          <w:rFonts w:ascii="Times New Roman" w:hAnsi="Times New Roman"/>
          <w:sz w:val="28"/>
          <w:szCs w:val="28"/>
        </w:rPr>
        <w:t>лимфопролиферативные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нарушения </w:t>
      </w:r>
    </w:p>
    <w:p w14:paraId="1E0E1C87" w14:textId="77777777" w:rsidR="00F5462A" w:rsidRPr="00E16FAD" w:rsidRDefault="00935208" w:rsidP="00F5462A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боль, мышечная слабость или парестезия конечностей, нарушение вкусовых ощущений (металлический привкус), судороги, </w:t>
      </w:r>
      <w:proofErr w:type="spellStart"/>
      <w:r w:rsidRPr="00E16FAD">
        <w:rPr>
          <w:rFonts w:ascii="Times New Roman" w:hAnsi="Times New Roman"/>
          <w:sz w:val="28"/>
          <w:szCs w:val="28"/>
        </w:rPr>
        <w:t>менингизм</w:t>
      </w:r>
      <w:proofErr w:type="spellEnd"/>
      <w:r w:rsidRPr="00E16FAD">
        <w:rPr>
          <w:rFonts w:ascii="Times New Roman" w:hAnsi="Times New Roman"/>
          <w:sz w:val="28"/>
          <w:szCs w:val="28"/>
        </w:rPr>
        <w:t>, острый асептический менингит, паралич</w:t>
      </w:r>
    </w:p>
    <w:p w14:paraId="10A33FA8" w14:textId="1CD2EC92" w:rsidR="00F5462A" w:rsidRPr="00E16FAD" w:rsidRDefault="00F5462A" w:rsidP="00F5462A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местное повреждение (образование стерильного абсцесса, липодистрофия) места инъекции при внутримышечном или подкожном введении.</w:t>
      </w:r>
    </w:p>
    <w:p w14:paraId="134619AF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нарушение зрения, ретинопатия</w:t>
      </w:r>
    </w:p>
    <w:p w14:paraId="03540307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печеночная недостаточность</w:t>
      </w:r>
    </w:p>
    <w:p w14:paraId="4904DCB7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FAD">
        <w:rPr>
          <w:rFonts w:ascii="Times New Roman" w:hAnsi="Times New Roman"/>
          <w:sz w:val="28"/>
          <w:szCs w:val="28"/>
        </w:rPr>
        <w:t>гематемезис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16FAD">
        <w:rPr>
          <w:rFonts w:ascii="Times New Roman" w:hAnsi="Times New Roman"/>
          <w:sz w:val="28"/>
          <w:szCs w:val="28"/>
        </w:rPr>
        <w:t>мелена</w:t>
      </w:r>
      <w:proofErr w:type="gramEnd"/>
      <w:r w:rsidRPr="00E16FAD">
        <w:rPr>
          <w:rFonts w:ascii="Times New Roman" w:hAnsi="Times New Roman"/>
          <w:sz w:val="28"/>
          <w:szCs w:val="28"/>
        </w:rPr>
        <w:t>, токсический мегаколон</w:t>
      </w:r>
    </w:p>
    <w:p w14:paraId="5A9422A9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синдром Стивена-Джонсона, токсический </w:t>
      </w:r>
      <w:proofErr w:type="spellStart"/>
      <w:r w:rsidRPr="00E16FAD">
        <w:rPr>
          <w:rFonts w:ascii="Times New Roman" w:hAnsi="Times New Roman"/>
          <w:sz w:val="28"/>
          <w:szCs w:val="28"/>
        </w:rPr>
        <w:t>эпидермальный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sz w:val="28"/>
          <w:szCs w:val="28"/>
        </w:rPr>
        <w:t>некролиз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(синдром </w:t>
      </w:r>
      <w:proofErr w:type="spellStart"/>
      <w:r w:rsidRPr="00E16FAD">
        <w:rPr>
          <w:rFonts w:ascii="Times New Roman" w:hAnsi="Times New Roman"/>
          <w:sz w:val="28"/>
          <w:szCs w:val="28"/>
        </w:rPr>
        <w:t>Лайелла</w:t>
      </w:r>
      <w:proofErr w:type="spellEnd"/>
      <w:r w:rsidRPr="00E16FAD">
        <w:rPr>
          <w:rFonts w:ascii="Times New Roman" w:hAnsi="Times New Roman"/>
          <w:sz w:val="28"/>
          <w:szCs w:val="28"/>
        </w:rPr>
        <w:t>), изменения пигментации ногтей, острые паронихии, фурункулез, телеангиоэктазии</w:t>
      </w:r>
    </w:p>
    <w:p w14:paraId="0002977F" w14:textId="77777777" w:rsidR="00935208" w:rsidRPr="00E16FAD" w:rsidRDefault="00935208" w:rsidP="00295D0C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потеря либидо, импотенция, гинекомастия, </w:t>
      </w:r>
      <w:proofErr w:type="spellStart"/>
      <w:r w:rsidRPr="00E16FAD">
        <w:rPr>
          <w:rFonts w:ascii="Times New Roman" w:hAnsi="Times New Roman"/>
          <w:sz w:val="28"/>
          <w:szCs w:val="28"/>
        </w:rPr>
        <w:t>олигоспермия</w:t>
      </w:r>
      <w:proofErr w:type="spellEnd"/>
      <w:r w:rsidRPr="00E16FAD">
        <w:rPr>
          <w:rFonts w:ascii="Times New Roman" w:hAnsi="Times New Roman"/>
          <w:sz w:val="28"/>
          <w:szCs w:val="28"/>
        </w:rPr>
        <w:t>, нарушения менструального цикла, вагинальные выделения</w:t>
      </w:r>
    </w:p>
    <w:p w14:paraId="7E7A9E67" w14:textId="77777777" w:rsidR="007E1A7B" w:rsidRPr="00E16FAD" w:rsidRDefault="007E1A7B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16FAD">
        <w:rPr>
          <w:rFonts w:ascii="Times New Roman" w:hAnsi="Times New Roman"/>
          <w:i/>
          <w:sz w:val="28"/>
          <w:szCs w:val="28"/>
        </w:rPr>
        <w:t>Неизвестно (невозможно оценить на основании имеющихся данных)</w:t>
      </w:r>
    </w:p>
    <w:p w14:paraId="411BC942" w14:textId="77777777" w:rsidR="00935208" w:rsidRPr="00E16FAD" w:rsidRDefault="00935208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энцефалопатия/</w:t>
      </w:r>
      <w:proofErr w:type="spellStart"/>
      <w:r w:rsidRPr="00E16FAD">
        <w:rPr>
          <w:rFonts w:ascii="Times New Roman" w:hAnsi="Times New Roman"/>
          <w:sz w:val="28"/>
          <w:szCs w:val="28"/>
        </w:rPr>
        <w:t>лейкоэнцефалопатия</w:t>
      </w:r>
      <w:proofErr w:type="spellEnd"/>
    </w:p>
    <w:p w14:paraId="6204C9B5" w14:textId="056C3882" w:rsidR="00935208" w:rsidRPr="00E16FAD" w:rsidRDefault="00935208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носовое кровотечение, легочное альвеолярное кровотечение</w:t>
      </w:r>
    </w:p>
    <w:p w14:paraId="23C08A00" w14:textId="625C372A" w:rsidR="001141DC" w:rsidRPr="00E16FAD" w:rsidRDefault="001141DC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отшелушивание кожи / отшелушивающий дерматит</w:t>
      </w:r>
    </w:p>
    <w:p w14:paraId="1D76FCF6" w14:textId="69862E27" w:rsidR="001141DC" w:rsidRPr="00E16FAD" w:rsidRDefault="001141DC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FAD">
        <w:rPr>
          <w:rFonts w:ascii="Times New Roman" w:hAnsi="Times New Roman"/>
          <w:sz w:val="28"/>
          <w:szCs w:val="28"/>
        </w:rPr>
        <w:t>эозинофилия</w:t>
      </w:r>
      <w:proofErr w:type="spellEnd"/>
    </w:p>
    <w:p w14:paraId="6CBB11B2" w14:textId="77777777" w:rsidR="00935208" w:rsidRPr="00E16FAD" w:rsidRDefault="00935208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>протеинурия</w:t>
      </w:r>
    </w:p>
    <w:p w14:paraId="5FA2DDE9" w14:textId="52663103" w:rsidR="00935208" w:rsidRPr="00E16FAD" w:rsidRDefault="00935208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12" w:name="_Hlk55547128"/>
      <w:r w:rsidRPr="00E16FAD">
        <w:rPr>
          <w:rFonts w:ascii="Times New Roman" w:hAnsi="Times New Roman"/>
          <w:sz w:val="28"/>
          <w:szCs w:val="28"/>
        </w:rPr>
        <w:t>астения, некроз места инъекции</w:t>
      </w:r>
      <w:r w:rsidR="001141DC" w:rsidRPr="00E16FAD">
        <w:rPr>
          <w:rFonts w:ascii="Times New Roman" w:hAnsi="Times New Roman"/>
          <w:sz w:val="28"/>
          <w:szCs w:val="28"/>
        </w:rPr>
        <w:t>, отек</w:t>
      </w:r>
    </w:p>
    <w:bookmarkEnd w:id="12"/>
    <w:p w14:paraId="0628246A" w14:textId="77777777" w:rsidR="005C4B12" w:rsidRPr="00E16FAD" w:rsidRDefault="00935208" w:rsidP="00295D0C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16FAD">
        <w:rPr>
          <w:rFonts w:ascii="Times New Roman" w:hAnsi="Times New Roman"/>
          <w:sz w:val="28"/>
          <w:szCs w:val="28"/>
        </w:rPr>
        <w:lastRenderedPageBreak/>
        <w:t>остеонекроз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челюсти (</w:t>
      </w:r>
      <w:proofErr w:type="gramStart"/>
      <w:r w:rsidRPr="00E16FAD">
        <w:rPr>
          <w:rFonts w:ascii="Times New Roman" w:hAnsi="Times New Roman"/>
          <w:sz w:val="28"/>
          <w:szCs w:val="28"/>
        </w:rPr>
        <w:t>вторичный</w:t>
      </w:r>
      <w:proofErr w:type="gramEnd"/>
      <w:r w:rsidRPr="00E16FAD">
        <w:rPr>
          <w:rFonts w:ascii="Times New Roman" w:hAnsi="Times New Roman"/>
          <w:sz w:val="28"/>
          <w:szCs w:val="28"/>
        </w:rPr>
        <w:t xml:space="preserve"> по отношению к </w:t>
      </w:r>
      <w:proofErr w:type="spellStart"/>
      <w:r w:rsidRPr="00E16FAD">
        <w:rPr>
          <w:rFonts w:ascii="Times New Roman" w:hAnsi="Times New Roman"/>
          <w:sz w:val="28"/>
          <w:szCs w:val="28"/>
        </w:rPr>
        <w:t>лимфопролиферативным</w:t>
      </w:r>
      <w:proofErr w:type="spellEnd"/>
      <w:r w:rsidRPr="00E16FAD">
        <w:rPr>
          <w:rFonts w:ascii="Times New Roman" w:hAnsi="Times New Roman"/>
          <w:sz w:val="28"/>
          <w:szCs w:val="28"/>
        </w:rPr>
        <w:t xml:space="preserve"> нарушениям)</w:t>
      </w:r>
    </w:p>
    <w:p w14:paraId="4D09B825" w14:textId="77777777" w:rsidR="007E1A7B" w:rsidRPr="00E16FAD" w:rsidRDefault="007E1A7B" w:rsidP="00295D0C">
      <w:pPr>
        <w:tabs>
          <w:tab w:val="left" w:pos="893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EA3D12" w14:textId="77777777" w:rsidR="00827BB2" w:rsidRPr="00E16FAD" w:rsidRDefault="00827BB2" w:rsidP="00295D0C">
      <w:pPr>
        <w:pStyle w:val="ac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16FAD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D93C80" w:rsidRPr="00E16FAD">
        <w:rPr>
          <w:rFonts w:ascii="Times New Roman" w:hAnsi="Times New Roman"/>
          <w:b/>
          <w:color w:val="000000"/>
          <w:sz w:val="28"/>
          <w:szCs w:val="28"/>
        </w:rPr>
        <w:t xml:space="preserve">ри возникновении </w:t>
      </w:r>
      <w:r w:rsidR="006703A5" w:rsidRPr="00E16FAD">
        <w:rPr>
          <w:rFonts w:ascii="Times New Roman" w:hAnsi="Times New Roman"/>
          <w:b/>
          <w:color w:val="000000"/>
          <w:sz w:val="28"/>
          <w:szCs w:val="28"/>
        </w:rPr>
        <w:t>нежелательных</w:t>
      </w:r>
      <w:r w:rsidR="00D93C80" w:rsidRPr="00E16FAD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  <w:r w:rsidR="00844CE8" w:rsidRPr="00E16F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14:paraId="3E35A3D8" w14:textId="3E8E8093" w:rsidR="006703A5" w:rsidRPr="00E16FAD" w:rsidRDefault="006703A5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РГП на ПХВ «Национальный Центр экспертизы лекарственных средств и медицинских изделий» </w:t>
      </w:r>
      <w:r w:rsidR="005779DE" w:rsidRPr="00E16FAD">
        <w:rPr>
          <w:rFonts w:ascii="Times New Roman" w:hAnsi="Times New Roman"/>
          <w:sz w:val="28"/>
          <w:szCs w:val="28"/>
        </w:rPr>
        <w:t>Комитет</w:t>
      </w:r>
      <w:r w:rsidR="0089621F" w:rsidRPr="00E16FAD">
        <w:rPr>
          <w:rFonts w:ascii="Times New Roman" w:hAnsi="Times New Roman"/>
          <w:sz w:val="28"/>
          <w:szCs w:val="28"/>
        </w:rPr>
        <w:t>а</w:t>
      </w:r>
      <w:r w:rsidR="004E46C1" w:rsidRPr="00E16FAD">
        <w:rPr>
          <w:rFonts w:ascii="Times New Roman" w:hAnsi="Times New Roman"/>
          <w:sz w:val="28"/>
          <w:szCs w:val="28"/>
        </w:rPr>
        <w:t xml:space="preserve"> медицинского и фармацевтического </w:t>
      </w:r>
      <w:r w:rsidR="005779DE" w:rsidRPr="00E16FAD">
        <w:rPr>
          <w:rFonts w:ascii="Times New Roman" w:hAnsi="Times New Roman"/>
          <w:sz w:val="28"/>
          <w:szCs w:val="28"/>
        </w:rPr>
        <w:t xml:space="preserve">контроля </w:t>
      </w:r>
      <w:r w:rsidRPr="00E16FAD">
        <w:rPr>
          <w:rFonts w:ascii="Times New Roman" w:hAnsi="Times New Roman"/>
          <w:sz w:val="28"/>
          <w:szCs w:val="28"/>
        </w:rPr>
        <w:t>Министерства здравоохранения Республики Казахстан</w:t>
      </w:r>
    </w:p>
    <w:p w14:paraId="2ADB7A2D" w14:textId="77777777" w:rsidR="006703A5" w:rsidRPr="00E16FAD" w:rsidRDefault="00F26076" w:rsidP="00295D0C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6703A5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http</w:t>
        </w:r>
        <w:r w:rsidR="006703A5" w:rsidRPr="00E16FAD">
          <w:rPr>
            <w:rStyle w:val="af"/>
            <w:rFonts w:ascii="Times New Roman" w:hAnsi="Times New Roman"/>
            <w:sz w:val="28"/>
            <w:szCs w:val="28"/>
          </w:rPr>
          <w:t>://</w:t>
        </w:r>
        <w:r w:rsidR="006703A5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www</w:t>
        </w:r>
        <w:r w:rsidR="006703A5" w:rsidRPr="00E16FAD">
          <w:rPr>
            <w:rStyle w:val="af"/>
            <w:rFonts w:ascii="Times New Roman" w:hAnsi="Times New Roman"/>
            <w:sz w:val="28"/>
            <w:szCs w:val="28"/>
          </w:rPr>
          <w:t>.</w:t>
        </w:r>
        <w:r w:rsidR="006703A5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ndda</w:t>
        </w:r>
        <w:r w:rsidR="006703A5" w:rsidRPr="00E16FAD">
          <w:rPr>
            <w:rStyle w:val="af"/>
            <w:rFonts w:ascii="Times New Roman" w:hAnsi="Times New Roman"/>
            <w:sz w:val="28"/>
            <w:szCs w:val="28"/>
          </w:rPr>
          <w:t>.</w:t>
        </w:r>
        <w:r w:rsidR="006703A5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kz</w:t>
        </w:r>
      </w:hyperlink>
    </w:p>
    <w:p w14:paraId="40EAC89E" w14:textId="77777777" w:rsidR="006703A5" w:rsidRPr="00E16FAD" w:rsidRDefault="006703A5" w:rsidP="00295D0C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A1F3F0D" w14:textId="77777777" w:rsidR="000C2C4B" w:rsidRPr="00E16FAD" w:rsidRDefault="000C2C4B" w:rsidP="00295D0C">
      <w:pPr>
        <w:pStyle w:val="ac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Дополнительные сведения</w:t>
      </w:r>
    </w:p>
    <w:p w14:paraId="6BC28D8B" w14:textId="77777777" w:rsidR="006B7A90" w:rsidRPr="00E16FAD" w:rsidRDefault="00844CE8" w:rsidP="00295D0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bookmarkStart w:id="13" w:name="2175220285"/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Состав лекарственного препарата</w:t>
      </w:r>
      <w:r w:rsidR="00C379C9"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14:paraId="21BCF3B3" w14:textId="77777777" w:rsidR="006B7A90" w:rsidRPr="00E16FAD" w:rsidRDefault="005C0830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4" w:name="2175220286"/>
      <w:bookmarkEnd w:id="13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1 мл препарата содержит</w:t>
      </w:r>
    </w:p>
    <w:p w14:paraId="68DDEA93" w14:textId="77777777" w:rsidR="006B7A90" w:rsidRPr="00E16FAD" w:rsidRDefault="00844CE8" w:rsidP="00295D0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активное вещество </w:t>
      </w:r>
      <w:r w:rsidR="00A74001" w:rsidRPr="00E16F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–</w:t>
      </w:r>
      <w:r w:rsidRPr="00E16FAD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5C0830"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метотрексат</w:t>
      </w:r>
      <w:proofErr w:type="gramStart"/>
      <w:r w:rsidR="00A74001" w:rsidRPr="00E16FAD">
        <w:rPr>
          <w:rFonts w:ascii="Times New Roman" w:eastAsia="Times New Roman" w:hAnsi="Times New Roman"/>
          <w:bCs/>
          <w:sz w:val="28"/>
          <w:szCs w:val="28"/>
          <w:vertAlign w:val="superscript"/>
          <w:lang w:eastAsia="ru-RU"/>
        </w:rPr>
        <w:t>1</w:t>
      </w:r>
      <w:proofErr w:type="gramEnd"/>
      <w:r w:rsidR="005C0830"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50 мг </w:t>
      </w:r>
    </w:p>
    <w:p w14:paraId="247CED5C" w14:textId="77777777" w:rsidR="005C0830" w:rsidRPr="00E16FAD" w:rsidRDefault="006B7A90" w:rsidP="00295D0C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</w:rPr>
      </w:pPr>
      <w:r w:rsidRPr="00E16FAD">
        <w:rPr>
          <w:rFonts w:ascii="Times New Roman" w:hAnsi="Times New Roman"/>
          <w:i/>
          <w:iCs/>
          <w:sz w:val="28"/>
          <w:szCs w:val="28"/>
        </w:rPr>
        <w:t xml:space="preserve">вспомогательные вещества: </w:t>
      </w:r>
      <w:r w:rsidR="005C0830" w:rsidRPr="00E16FAD">
        <w:rPr>
          <w:rFonts w:ascii="Times New Roman" w:hAnsi="Times New Roman"/>
          <w:iCs/>
          <w:spacing w:val="-2"/>
          <w:sz w:val="28"/>
          <w:szCs w:val="28"/>
        </w:rPr>
        <w:t>натрия гидроксид</w:t>
      </w:r>
      <w:proofErr w:type="gramStart"/>
      <w:r w:rsidR="00A74001" w:rsidRPr="00E16FAD">
        <w:rPr>
          <w:rFonts w:ascii="Times New Roman" w:hAnsi="Times New Roman"/>
          <w:iCs/>
          <w:spacing w:val="-2"/>
          <w:sz w:val="28"/>
          <w:szCs w:val="28"/>
          <w:vertAlign w:val="superscript"/>
        </w:rPr>
        <w:t>2</w:t>
      </w:r>
      <w:proofErr w:type="gramEnd"/>
      <w:r w:rsidR="005C0830" w:rsidRPr="00E16FAD">
        <w:rPr>
          <w:rFonts w:ascii="Times New Roman" w:hAnsi="Times New Roman"/>
          <w:iCs/>
          <w:spacing w:val="-2"/>
          <w:sz w:val="28"/>
          <w:szCs w:val="28"/>
        </w:rPr>
        <w:t xml:space="preserve">, натрия хлорид, вода для </w:t>
      </w:r>
    </w:p>
    <w:p w14:paraId="67AAA1BC" w14:textId="77777777" w:rsidR="005C0830" w:rsidRPr="00E16FAD" w:rsidRDefault="005C0830" w:rsidP="00295D0C">
      <w:pPr>
        <w:spacing w:after="0" w:line="240" w:lineRule="auto"/>
        <w:jc w:val="both"/>
        <w:rPr>
          <w:rFonts w:ascii="Times New Roman" w:hAnsi="Times New Roman"/>
          <w:iCs/>
          <w:spacing w:val="-2"/>
          <w:sz w:val="28"/>
          <w:szCs w:val="28"/>
          <w:vertAlign w:val="superscript"/>
        </w:rPr>
      </w:pPr>
      <w:r w:rsidRPr="00E16FAD">
        <w:rPr>
          <w:rFonts w:ascii="Times New Roman" w:hAnsi="Times New Roman"/>
          <w:iCs/>
          <w:spacing w:val="-2"/>
          <w:sz w:val="28"/>
          <w:szCs w:val="28"/>
        </w:rPr>
        <w:t>инъекций</w:t>
      </w:r>
      <w:r w:rsidR="00A74001" w:rsidRPr="00E16FAD">
        <w:rPr>
          <w:rFonts w:ascii="Times New Roman" w:hAnsi="Times New Roman"/>
          <w:iCs/>
          <w:spacing w:val="-2"/>
          <w:sz w:val="28"/>
          <w:szCs w:val="28"/>
          <w:vertAlign w:val="superscript"/>
        </w:rPr>
        <w:t>3</w:t>
      </w:r>
    </w:p>
    <w:p w14:paraId="180B95CC" w14:textId="74849CA7" w:rsidR="00A74001" w:rsidRPr="00E16FAD" w:rsidRDefault="00A74001" w:rsidP="00295D0C">
      <w:pPr>
        <w:shd w:val="clear" w:color="auto" w:fill="FFFFFF"/>
        <w:tabs>
          <w:tab w:val="left" w:pos="4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FAD">
        <w:rPr>
          <w:rFonts w:ascii="Times New Roman" w:hAnsi="Times New Roman"/>
          <w:sz w:val="24"/>
          <w:szCs w:val="24"/>
          <w:vertAlign w:val="superscript"/>
        </w:rPr>
        <w:t>1</w:t>
      </w:r>
      <w:r w:rsidRPr="00E16FAD">
        <w:rPr>
          <w:rFonts w:ascii="Times New Roman" w:hAnsi="Times New Roman"/>
          <w:sz w:val="24"/>
          <w:szCs w:val="24"/>
        </w:rPr>
        <w:t xml:space="preserve"> Ко</w:t>
      </w:r>
      <w:r w:rsidR="00041028" w:rsidRPr="00E16FAD">
        <w:rPr>
          <w:rFonts w:ascii="Times New Roman" w:hAnsi="Times New Roman"/>
          <w:sz w:val="24"/>
          <w:szCs w:val="24"/>
        </w:rPr>
        <w:t>личество указано из расчета 100</w:t>
      </w:r>
      <w:r w:rsidRPr="00E16FAD">
        <w:rPr>
          <w:rFonts w:ascii="Times New Roman" w:hAnsi="Times New Roman"/>
          <w:sz w:val="24"/>
          <w:szCs w:val="24"/>
        </w:rPr>
        <w:t xml:space="preserve">% вещества, корректировку следует проводить с учетом фактического </w:t>
      </w:r>
      <w:bookmarkStart w:id="15" w:name="_GoBack"/>
      <w:bookmarkEnd w:id="15"/>
      <w:r w:rsidRPr="00E16FAD">
        <w:rPr>
          <w:rFonts w:ascii="Times New Roman" w:hAnsi="Times New Roman"/>
          <w:sz w:val="24"/>
          <w:szCs w:val="24"/>
        </w:rPr>
        <w:t>содержания вещества</w:t>
      </w:r>
    </w:p>
    <w:p w14:paraId="0F7E6730" w14:textId="63696F8D" w:rsidR="00A74001" w:rsidRPr="00E16FAD" w:rsidRDefault="00A74001" w:rsidP="00295D0C">
      <w:pPr>
        <w:shd w:val="clear" w:color="auto" w:fill="FFFFFF"/>
        <w:tabs>
          <w:tab w:val="left" w:pos="4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FAD">
        <w:rPr>
          <w:rFonts w:ascii="Times New Roman" w:hAnsi="Times New Roman"/>
          <w:sz w:val="24"/>
          <w:szCs w:val="24"/>
          <w:vertAlign w:val="superscript"/>
        </w:rPr>
        <w:t>2</w:t>
      </w:r>
      <w:proofErr w:type="gramStart"/>
      <w:r w:rsidR="00041028" w:rsidRPr="00E16FA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="00041028" w:rsidRPr="00E16FAD">
        <w:rPr>
          <w:rFonts w:ascii="Times New Roman" w:hAnsi="Times New Roman"/>
          <w:sz w:val="24"/>
          <w:szCs w:val="24"/>
        </w:rPr>
        <w:t>спользуют 10</w:t>
      </w:r>
      <w:r w:rsidRPr="00E16FAD">
        <w:rPr>
          <w:rFonts w:ascii="Times New Roman" w:hAnsi="Times New Roman"/>
          <w:sz w:val="24"/>
          <w:szCs w:val="24"/>
        </w:rPr>
        <w:t xml:space="preserve">% раствор в воде для инъекций для </w:t>
      </w:r>
      <w:proofErr w:type="spellStart"/>
      <w:r w:rsidRPr="00E16FAD">
        <w:rPr>
          <w:rFonts w:ascii="Times New Roman" w:hAnsi="Times New Roman"/>
          <w:sz w:val="24"/>
          <w:szCs w:val="24"/>
        </w:rPr>
        <w:t>солюбилизации</w:t>
      </w:r>
      <w:proofErr w:type="spellEnd"/>
      <w:r w:rsidRPr="00E16F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FAD">
        <w:rPr>
          <w:rFonts w:ascii="Times New Roman" w:hAnsi="Times New Roman"/>
          <w:sz w:val="24"/>
          <w:szCs w:val="24"/>
        </w:rPr>
        <w:t>метотрексата</w:t>
      </w:r>
      <w:proofErr w:type="spellEnd"/>
      <w:r w:rsidRPr="00E16FAD">
        <w:rPr>
          <w:rFonts w:ascii="Times New Roman" w:hAnsi="Times New Roman"/>
          <w:sz w:val="24"/>
          <w:szCs w:val="24"/>
        </w:rPr>
        <w:t xml:space="preserve"> и регулирования значения pH (от 7.0 до 9.0)</w:t>
      </w:r>
    </w:p>
    <w:p w14:paraId="7F495920" w14:textId="77777777" w:rsidR="00A74001" w:rsidRPr="00E16FAD" w:rsidRDefault="00A74001" w:rsidP="00295D0C">
      <w:pPr>
        <w:shd w:val="clear" w:color="auto" w:fill="FFFFFF"/>
        <w:tabs>
          <w:tab w:val="left" w:pos="43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FAD">
        <w:rPr>
          <w:rFonts w:ascii="Times New Roman" w:hAnsi="Times New Roman"/>
          <w:sz w:val="24"/>
          <w:szCs w:val="24"/>
          <w:vertAlign w:val="superscript"/>
        </w:rPr>
        <w:t>3</w:t>
      </w:r>
      <w:r w:rsidRPr="00E16FAD">
        <w:rPr>
          <w:rFonts w:ascii="Times New Roman" w:hAnsi="Times New Roman"/>
          <w:sz w:val="24"/>
          <w:szCs w:val="24"/>
        </w:rPr>
        <w:t xml:space="preserve"> Масса препарата на мл раствора = 1.02 г/мл при температуре 25 °C</w:t>
      </w:r>
    </w:p>
    <w:p w14:paraId="3BED25C6" w14:textId="77777777" w:rsidR="006B7A90" w:rsidRPr="00E16FAD" w:rsidRDefault="006B7A90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Описание внешнего вида, запаха, вкуса</w:t>
      </w:r>
    </w:p>
    <w:bookmarkEnd w:id="14"/>
    <w:p w14:paraId="049603FC" w14:textId="21FD4188" w:rsidR="005C0830" w:rsidRPr="00E16FAD" w:rsidRDefault="005C0830" w:rsidP="00295D0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Прозрачный </w:t>
      </w:r>
      <w:r w:rsidR="008817ED"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раствор </w:t>
      </w:r>
      <w:proofErr w:type="gramStart"/>
      <w:r w:rsidR="008817ED" w:rsidRPr="00E16FA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="008817ED"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 желтог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817ED"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коричне</w:t>
      </w:r>
      <w:r w:rsidR="008817ED" w:rsidRPr="00E16FAD">
        <w:rPr>
          <w:rFonts w:ascii="Times New Roman" w:eastAsia="Times New Roman" w:hAnsi="Times New Roman"/>
          <w:sz w:val="28"/>
          <w:szCs w:val="28"/>
          <w:lang w:eastAsia="ru-RU"/>
        </w:rPr>
        <w:t>вого цвета, практически без видимых частиц.</w:t>
      </w:r>
    </w:p>
    <w:p w14:paraId="4B79FD75" w14:textId="77777777" w:rsidR="008817ED" w:rsidRPr="00E16FAD" w:rsidRDefault="008817ED" w:rsidP="00295D0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239705" w14:textId="77777777" w:rsidR="00C9308C" w:rsidRPr="00E16FAD" w:rsidRDefault="00C9308C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6" w:name="2175220287"/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выпуска и упаковка</w:t>
      </w:r>
    </w:p>
    <w:p w14:paraId="12653E56" w14:textId="77777777" w:rsidR="006432FA" w:rsidRPr="00E16FAD" w:rsidRDefault="006432FA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7" w:name="_Hlk57380553"/>
      <w:proofErr w:type="gram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По 0.15 мл (7.5 мг), 0.20 мл (10 мг), 0.25 мл (12.5 мг), 0.30 мл (15 мг), 0.35 мл (17.5 мг), 0.40 мл (20 мг), 0.45 мл (22.5 мг), 0.50 мл (25 мг), 0.55 мл (27.5 мг) и 0.60 мл (30 мг) препарата помещают в предварительно заполненный шприц вместимостью 1 мл, состоящий из цилиндра из бесцветного боросиликатного нейтрального стекла (тип</w:t>
      </w:r>
      <w:proofErr w:type="gram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I) с фиксированной иглой, резинового плунжера и защитного колпачка для иглы. На шприц наклеивают бумажную самоклеящуюся этикетку.</w:t>
      </w:r>
    </w:p>
    <w:p w14:paraId="51152077" w14:textId="77777777" w:rsidR="006A4500" w:rsidRPr="00E16FAD" w:rsidRDefault="006A4500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По 1 предварительно заполненному шприцу помещают в контурную ячейковую упаковку из пленки ПВХ и бумаги или фольги алюминиевой.</w:t>
      </w:r>
    </w:p>
    <w:p w14:paraId="328B4A0D" w14:textId="18ECA7FA" w:rsidR="00167255" w:rsidRPr="00E16FAD" w:rsidRDefault="006432FA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По 1</w:t>
      </w:r>
      <w:r w:rsidR="006A4500"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или 4</w:t>
      </w: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контурн</w:t>
      </w:r>
      <w:r w:rsidR="006A4500"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ых</w:t>
      </w: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упаков</w:t>
      </w:r>
      <w:r w:rsidR="006A4500"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ок</w:t>
      </w: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вместе с инструкцией по медицинскому применению на казахском и русском языках помещают в картонную коробку.</w:t>
      </w:r>
    </w:p>
    <w:p w14:paraId="49F4D838" w14:textId="478F0D98" w:rsidR="00FD62A9" w:rsidRPr="00E16FAD" w:rsidRDefault="00FD62A9" w:rsidP="00295D0C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коробку с 4 контурными упаковками наклеивают </w:t>
      </w:r>
      <w:proofErr w:type="gramStart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>прозрачный</w:t>
      </w:r>
      <w:proofErr w:type="gramEnd"/>
      <w:r w:rsidRPr="00E16F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стикер для контроля первого вскрытия.</w:t>
      </w:r>
    </w:p>
    <w:bookmarkEnd w:id="17"/>
    <w:p w14:paraId="24A49FE1" w14:textId="77777777" w:rsidR="006432FA" w:rsidRPr="00E16FAD" w:rsidRDefault="006432FA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A963555" w14:textId="77777777" w:rsidR="00844CE8" w:rsidRPr="00E16FAD" w:rsidRDefault="00844CE8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="000E01AB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рок </w:t>
      </w:r>
      <w:r w:rsidR="006C6558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>хранения</w:t>
      </w:r>
      <w:r w:rsidR="000E01AB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F88D95E" w14:textId="77777777" w:rsidR="00D14D61" w:rsidRPr="00E16FAD" w:rsidRDefault="005C0830" w:rsidP="00295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 года</w:t>
      </w:r>
    </w:p>
    <w:p w14:paraId="5007BCAB" w14:textId="77777777" w:rsidR="000E01AB" w:rsidRPr="00E16FAD" w:rsidRDefault="00D14D61" w:rsidP="00295D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r w:rsidR="000E01AB" w:rsidRPr="00E16FAD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0E01AB" w:rsidRPr="00E16FAD">
        <w:rPr>
          <w:rFonts w:ascii="Times New Roman" w:eastAsia="Times New Roman" w:hAnsi="Times New Roman"/>
          <w:sz w:val="28"/>
          <w:szCs w:val="28"/>
          <w:lang w:eastAsia="ru-RU"/>
        </w:rPr>
        <w:t>по истечении срока годности</w:t>
      </w:r>
      <w:r w:rsidRPr="00E16FAD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14:paraId="53DDDDF0" w14:textId="77777777" w:rsidR="000E01AB" w:rsidRPr="00E16FAD" w:rsidRDefault="00D14D61" w:rsidP="00295D0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bookmarkStart w:id="18" w:name="2175220288"/>
      <w:bookmarkEnd w:id="16"/>
      <w:r w:rsidRPr="00E16FA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Условия хранения</w:t>
      </w:r>
    </w:p>
    <w:p w14:paraId="019816A9" w14:textId="77777777" w:rsidR="006A4500" w:rsidRPr="00E16FAD" w:rsidRDefault="006A4500" w:rsidP="00295D0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Хранить в оригинальной упаковке при температуре не выше 30 °С </w:t>
      </w:r>
    </w:p>
    <w:p w14:paraId="42A9F609" w14:textId="77777777" w:rsidR="00D14D61" w:rsidRPr="00E16FAD" w:rsidRDefault="00D14D61" w:rsidP="00295D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Хранить в недоступном для детей месте! </w:t>
      </w:r>
      <w:bookmarkStart w:id="19" w:name="2175220289"/>
      <w:bookmarkEnd w:id="18"/>
    </w:p>
    <w:bookmarkEnd w:id="19"/>
    <w:p w14:paraId="0D508A4B" w14:textId="77777777" w:rsidR="006B7A90" w:rsidRPr="00E16FAD" w:rsidRDefault="006B7A90" w:rsidP="00295D0C">
      <w:pPr>
        <w:pStyle w:val="ac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D62813" w14:textId="77777777" w:rsidR="00D34C3B" w:rsidRPr="00E16FAD" w:rsidRDefault="006C6558" w:rsidP="00295D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FAD">
        <w:rPr>
          <w:rFonts w:ascii="Times New Roman" w:hAnsi="Times New Roman"/>
          <w:b/>
          <w:color w:val="000000"/>
          <w:sz w:val="28"/>
          <w:szCs w:val="28"/>
        </w:rPr>
        <w:t>Условия отпуска из аптек</w:t>
      </w:r>
    </w:p>
    <w:p w14:paraId="63CC5005" w14:textId="77777777" w:rsidR="006C6558" w:rsidRPr="00E16FAD" w:rsidRDefault="00D34C3B" w:rsidP="00295D0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П</w:t>
      </w:r>
      <w:r w:rsidR="006C6558" w:rsidRPr="00E16FAD">
        <w:rPr>
          <w:rFonts w:ascii="Times New Roman" w:hAnsi="Times New Roman"/>
          <w:color w:val="000000"/>
          <w:sz w:val="28"/>
          <w:szCs w:val="28"/>
        </w:rPr>
        <w:t>о рецепту</w:t>
      </w:r>
    </w:p>
    <w:p w14:paraId="3026B7F8" w14:textId="77777777" w:rsidR="006C6558" w:rsidRPr="00E16FAD" w:rsidRDefault="006C6558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6C6B00" w14:textId="77777777" w:rsidR="006B7A90" w:rsidRPr="00E16FAD" w:rsidRDefault="007C1693" w:rsidP="00295D0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Сведения о производителе </w:t>
      </w:r>
    </w:p>
    <w:p w14:paraId="5251CAE5" w14:textId="341587B0" w:rsidR="008031B2" w:rsidRPr="00E16FAD" w:rsidRDefault="008031B2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_Hlk69728199"/>
      <w:r w:rsidRPr="00E16FAD">
        <w:rPr>
          <w:rFonts w:ascii="Times New Roman" w:hAnsi="Times New Roman"/>
          <w:color w:val="000000"/>
          <w:sz w:val="28"/>
          <w:szCs w:val="28"/>
        </w:rPr>
        <w:t>On</w:t>
      </w:r>
      <w:r w:rsidR="00DE2F3B" w:rsidRPr="00E16FAD">
        <w:rPr>
          <w:rFonts w:ascii="Times New Roman" w:hAnsi="Times New Roman"/>
          <w:color w:val="000000"/>
          <w:sz w:val="28"/>
          <w:szCs w:val="28"/>
          <w:lang w:val="en-US"/>
        </w:rPr>
        <w:t>k</w:t>
      </w:r>
      <w:r w:rsidRPr="00E16FAD">
        <w:rPr>
          <w:rFonts w:ascii="Times New Roman" w:hAnsi="Times New Roman"/>
          <w:color w:val="000000"/>
          <w:sz w:val="28"/>
          <w:szCs w:val="28"/>
        </w:rPr>
        <w:t xml:space="preserve">o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Ilac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San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Ve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Tic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. A.S.</w:t>
      </w:r>
    </w:p>
    <w:p w14:paraId="26E1A29D" w14:textId="77777777" w:rsidR="006A4500" w:rsidRPr="00E16FAD" w:rsidRDefault="00E61F77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Gebze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Organize</w:t>
      </w:r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Sanayi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Bolgesi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, 1700 </w:t>
      </w:r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Sokak</w:t>
      </w:r>
      <w:r w:rsidRPr="00E16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E16FA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l</w:t>
      </w:r>
      <w:r w:rsidRPr="00E16FAD">
        <w:rPr>
          <w:rFonts w:ascii="Times New Roman" w:hAnsi="Times New Roman"/>
          <w:color w:val="000000"/>
          <w:sz w:val="28"/>
          <w:szCs w:val="28"/>
        </w:rPr>
        <w:t xml:space="preserve"> 703,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Gebze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/-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</w:rPr>
        <w:t>Kocaeli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>, Турция</w:t>
      </w:r>
      <w:r w:rsidRPr="00E16FAD">
        <w:rPr>
          <w:rFonts w:ascii="Times New Roman" w:hAnsi="Times New Roman"/>
          <w:color w:val="000000"/>
          <w:sz w:val="28"/>
          <w:szCs w:val="28"/>
        </w:rPr>
        <w:cr/>
        <w:t>телефон</w:t>
      </w:r>
      <w:r w:rsidR="006A4500" w:rsidRPr="00E16FAD">
        <w:rPr>
          <w:rFonts w:ascii="Times New Roman" w:hAnsi="Times New Roman"/>
          <w:color w:val="000000"/>
          <w:sz w:val="28"/>
          <w:szCs w:val="28"/>
        </w:rPr>
        <w:t>/факс</w:t>
      </w:r>
      <w:r w:rsidRPr="00E16FAD">
        <w:rPr>
          <w:rFonts w:ascii="Times New Roman" w:hAnsi="Times New Roman"/>
          <w:color w:val="000000"/>
          <w:sz w:val="28"/>
          <w:szCs w:val="28"/>
        </w:rPr>
        <w:t>:</w:t>
      </w:r>
      <w:r w:rsidR="006A4500" w:rsidRPr="00E16FAD">
        <w:rPr>
          <w:rFonts w:ascii="Times New Roman" w:hAnsi="Times New Roman"/>
          <w:color w:val="000000"/>
          <w:sz w:val="28"/>
          <w:szCs w:val="28"/>
        </w:rPr>
        <w:t xml:space="preserve"> +90 850 250 66 56</w:t>
      </w:r>
    </w:p>
    <w:p w14:paraId="39281855" w14:textId="77777777" w:rsidR="006A4500" w:rsidRPr="00E16FAD" w:rsidRDefault="00E61F77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электронная почта: </w:t>
      </w:r>
      <w:hyperlink r:id="rId10" w:history="1"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info</w:t>
        </w:r>
        <w:r w:rsidR="006A4500" w:rsidRPr="00E16FAD">
          <w:rPr>
            <w:rStyle w:val="af"/>
            <w:rFonts w:ascii="Times New Roman" w:hAnsi="Times New Roman"/>
            <w:sz w:val="28"/>
            <w:szCs w:val="28"/>
          </w:rPr>
          <w:t>@</w:t>
        </w:r>
        <w:proofErr w:type="spellStart"/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onkokocsel</w:t>
        </w:r>
        <w:proofErr w:type="spellEnd"/>
        <w:r w:rsidR="006A4500" w:rsidRPr="00E16FAD">
          <w:rPr>
            <w:rStyle w:val="af"/>
            <w:rFonts w:ascii="Times New Roman" w:hAnsi="Times New Roman"/>
            <w:sz w:val="28"/>
            <w:szCs w:val="28"/>
          </w:rPr>
          <w:t>.</w:t>
        </w:r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</w:p>
    <w:bookmarkEnd w:id="20"/>
    <w:p w14:paraId="523A50AA" w14:textId="77777777" w:rsidR="006A4500" w:rsidRPr="00E16FAD" w:rsidRDefault="006A4500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2357728" w14:textId="77777777" w:rsidR="00D76048" w:rsidRPr="00E16FAD" w:rsidRDefault="005A3C81" w:rsidP="00295D0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6FA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Держатель</w:t>
      </w:r>
      <w:r w:rsidR="00D76048" w:rsidRPr="00E16FA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регистрационного удостоверения</w:t>
      </w:r>
    </w:p>
    <w:p w14:paraId="7828F47F" w14:textId="77777777" w:rsidR="006A4500" w:rsidRPr="00E16FAD" w:rsidRDefault="006A4500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gram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 xml:space="preserve">Accord Healthcare Polska Sp. z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o.o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.</w:t>
      </w:r>
      <w:proofErr w:type="gramEnd"/>
    </w:p>
    <w:p w14:paraId="5638AA77" w14:textId="77777777" w:rsidR="008031B2" w:rsidRPr="00E16FAD" w:rsidRDefault="006A4500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 xml:space="preserve">7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Tasmowa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st</w:t>
      </w:r>
      <w:proofErr w:type="spellEnd"/>
      <w:r w:rsidRPr="00E16FAD">
        <w:rPr>
          <w:rFonts w:ascii="Times New Roman" w:hAnsi="Times New Roman"/>
          <w:color w:val="000000"/>
          <w:sz w:val="28"/>
          <w:szCs w:val="28"/>
        </w:rPr>
        <w:t xml:space="preserve">., </w:t>
      </w:r>
      <w:r w:rsidRPr="00E16FAD">
        <w:rPr>
          <w:rFonts w:ascii="Times New Roman" w:hAnsi="Times New Roman"/>
          <w:color w:val="000000"/>
          <w:sz w:val="28"/>
          <w:szCs w:val="28"/>
          <w:lang w:val="en-US"/>
        </w:rPr>
        <w:t>Warsaw</w:t>
      </w:r>
      <w:r w:rsidRPr="00E16FAD">
        <w:rPr>
          <w:rFonts w:ascii="Times New Roman" w:hAnsi="Times New Roman"/>
          <w:color w:val="000000"/>
          <w:sz w:val="28"/>
          <w:szCs w:val="28"/>
        </w:rPr>
        <w:t>, 02-677, Польша</w:t>
      </w:r>
    </w:p>
    <w:p w14:paraId="56F07AA9" w14:textId="77777777" w:rsidR="006A4500" w:rsidRPr="00E16FAD" w:rsidRDefault="00844CE8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телефон</w:t>
      </w:r>
      <w:r w:rsidR="006A4500" w:rsidRPr="00E16FAD">
        <w:rPr>
          <w:rFonts w:ascii="Times New Roman" w:hAnsi="Times New Roman"/>
          <w:color w:val="000000"/>
          <w:sz w:val="28"/>
          <w:szCs w:val="28"/>
        </w:rPr>
        <w:t>/факс</w:t>
      </w:r>
      <w:r w:rsidR="00E61F77" w:rsidRPr="00E16FAD">
        <w:rPr>
          <w:rFonts w:ascii="Times New Roman" w:hAnsi="Times New Roman"/>
          <w:color w:val="000000"/>
          <w:sz w:val="28"/>
          <w:szCs w:val="28"/>
        </w:rPr>
        <w:t>:</w:t>
      </w:r>
      <w:r w:rsidR="006A4500" w:rsidRPr="00E16FAD">
        <w:rPr>
          <w:rFonts w:ascii="Times New Roman" w:hAnsi="Times New Roman"/>
          <w:color w:val="000000"/>
          <w:sz w:val="28"/>
          <w:szCs w:val="28"/>
        </w:rPr>
        <w:t xml:space="preserve"> +48 22 577 28 00 </w:t>
      </w:r>
    </w:p>
    <w:p w14:paraId="629E80A8" w14:textId="77777777" w:rsidR="00844CE8" w:rsidRPr="00E16FAD" w:rsidRDefault="00844CE8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16FAD">
        <w:rPr>
          <w:rFonts w:ascii="Times New Roman" w:hAnsi="Times New Roman"/>
          <w:color w:val="000000"/>
          <w:sz w:val="28"/>
          <w:szCs w:val="28"/>
        </w:rPr>
        <w:t>электронная почта</w:t>
      </w:r>
      <w:r w:rsidR="00E61F77" w:rsidRPr="00E16FAD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11" w:history="1"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ra</w:t>
        </w:r>
        <w:r w:rsidR="006A4500" w:rsidRPr="00E16FAD">
          <w:rPr>
            <w:rStyle w:val="af"/>
            <w:rFonts w:ascii="Times New Roman" w:hAnsi="Times New Roman"/>
            <w:sz w:val="28"/>
            <w:szCs w:val="28"/>
          </w:rPr>
          <w:t>_</w:t>
        </w:r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query</w:t>
        </w:r>
        <w:r w:rsidR="006A4500" w:rsidRPr="00E16FAD">
          <w:rPr>
            <w:rStyle w:val="af"/>
            <w:rFonts w:ascii="Times New Roman" w:hAnsi="Times New Roman"/>
            <w:sz w:val="28"/>
            <w:szCs w:val="28"/>
          </w:rPr>
          <w:t>@</w:t>
        </w:r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accord</w:t>
        </w:r>
        <w:r w:rsidR="006A4500" w:rsidRPr="00E16FAD">
          <w:rPr>
            <w:rStyle w:val="af"/>
            <w:rFonts w:ascii="Times New Roman" w:hAnsi="Times New Roman"/>
            <w:sz w:val="28"/>
            <w:szCs w:val="28"/>
          </w:rPr>
          <w:t>-</w:t>
        </w:r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healthcare</w:t>
        </w:r>
        <w:r w:rsidR="006A4500" w:rsidRPr="00E16FAD">
          <w:rPr>
            <w:rStyle w:val="af"/>
            <w:rFonts w:ascii="Times New Roman" w:hAnsi="Times New Roman"/>
            <w:sz w:val="28"/>
            <w:szCs w:val="28"/>
          </w:rPr>
          <w:t>.</w:t>
        </w:r>
        <w:r w:rsidR="006A4500" w:rsidRPr="00E16FAD">
          <w:rPr>
            <w:rStyle w:val="af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14:paraId="75BA9002" w14:textId="77777777" w:rsidR="008031B2" w:rsidRPr="00E16FAD" w:rsidRDefault="008031B2" w:rsidP="00295D0C">
      <w:pPr>
        <w:pStyle w:val="21"/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14:paraId="11339AE9" w14:textId="07B4B320" w:rsidR="00891711" w:rsidRPr="00E16FAD" w:rsidRDefault="00F8747E" w:rsidP="00295D0C">
      <w:pPr>
        <w:pStyle w:val="21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de-DE"/>
        </w:rPr>
      </w:pPr>
      <w:r w:rsidRPr="00E16FAD">
        <w:rPr>
          <w:rFonts w:ascii="Times New Roman" w:hAnsi="Times New Roman"/>
          <w:b/>
          <w:iCs/>
          <w:sz w:val="28"/>
          <w:szCs w:val="28"/>
          <w:lang w:val="kk-KZ"/>
        </w:rPr>
        <w:t xml:space="preserve">Наименование, адрес и контактные данные (телефон, </w:t>
      </w:r>
      <w:r w:rsidR="00041028" w:rsidRPr="00E16FAD">
        <w:rPr>
          <w:rFonts w:ascii="Times New Roman" w:hAnsi="Times New Roman"/>
          <w:b/>
          <w:iCs/>
          <w:sz w:val="28"/>
          <w:szCs w:val="28"/>
          <w:lang w:val="kk-KZ"/>
        </w:rPr>
        <w:t xml:space="preserve">факс, </w:t>
      </w:r>
      <w:r w:rsidRPr="00E16FAD">
        <w:rPr>
          <w:rFonts w:ascii="Times New Roman" w:hAnsi="Times New Roman"/>
          <w:b/>
          <w:iCs/>
          <w:sz w:val="28"/>
          <w:szCs w:val="28"/>
          <w:lang w:val="kk-KZ"/>
        </w:rPr>
        <w:t xml:space="preserve">электронная почта) организации </w:t>
      </w:r>
      <w:r w:rsidRPr="00E16FAD">
        <w:rPr>
          <w:rFonts w:ascii="Times New Roman" w:hAnsi="Times New Roman"/>
          <w:b/>
          <w:iCs/>
          <w:sz w:val="28"/>
          <w:szCs w:val="28"/>
        </w:rPr>
        <w:t>на территории Республики Казахстан, прин</w:t>
      </w:r>
      <w:r w:rsidR="00041028" w:rsidRPr="00E16FAD">
        <w:rPr>
          <w:rFonts w:ascii="Times New Roman" w:hAnsi="Times New Roman"/>
          <w:b/>
          <w:iCs/>
          <w:sz w:val="28"/>
          <w:szCs w:val="28"/>
        </w:rPr>
        <w:t>имающей претензии (предложения) по качеству лекарственных средств от потребителей и</w:t>
      </w:r>
      <w:r w:rsidR="007E5B48" w:rsidRPr="00E16FAD">
        <w:rPr>
          <w:rFonts w:ascii="Times New Roman" w:hAnsi="Times New Roman"/>
          <w:b/>
          <w:iCs/>
          <w:sz w:val="28"/>
          <w:szCs w:val="28"/>
          <w:lang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наблюдение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за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="00891711" w:rsidRPr="00E16FAD">
        <w:rPr>
          <w:rFonts w:ascii="Times New Roman" w:hAnsi="Times New Roman"/>
          <w:b/>
          <w:iCs/>
          <w:sz w:val="28"/>
          <w:szCs w:val="28"/>
          <w:lang w:val="de-DE" w:eastAsia="de-DE"/>
        </w:rPr>
        <w:t>средства</w:t>
      </w:r>
      <w:proofErr w:type="spellEnd"/>
      <w:r w:rsidR="00891711" w:rsidRPr="00E16FAD">
        <w:rPr>
          <w:rFonts w:ascii="Times New Roman" w:hAnsi="Times New Roman"/>
          <w:b/>
          <w:sz w:val="28"/>
          <w:szCs w:val="28"/>
          <w:lang w:val="de-DE" w:eastAsia="de-DE"/>
        </w:rPr>
        <w:t xml:space="preserve"> </w:t>
      </w:r>
    </w:p>
    <w:p w14:paraId="03CA8BA1" w14:textId="77777777" w:rsidR="008031B2" w:rsidRPr="00E16FAD" w:rsidRDefault="008031B2" w:rsidP="00295D0C">
      <w:pPr>
        <w:pStyle w:val="Default"/>
        <w:jc w:val="both"/>
        <w:rPr>
          <w:color w:val="auto"/>
          <w:sz w:val="28"/>
          <w:szCs w:val="28"/>
          <w:lang w:val="uk-UA"/>
        </w:rPr>
      </w:pPr>
      <w:r w:rsidRPr="00E16FAD">
        <w:rPr>
          <w:color w:val="auto"/>
          <w:sz w:val="28"/>
          <w:szCs w:val="28"/>
          <w:lang w:val="uk-UA"/>
        </w:rPr>
        <w:t>ТОО «</w:t>
      </w:r>
      <w:r w:rsidRPr="00E16FAD">
        <w:rPr>
          <w:color w:val="auto"/>
          <w:sz w:val="28"/>
          <w:szCs w:val="28"/>
        </w:rPr>
        <w:t>Saa</w:t>
      </w:r>
      <w:r w:rsidRPr="00E16FAD">
        <w:rPr>
          <w:color w:val="auto"/>
          <w:sz w:val="28"/>
          <w:szCs w:val="28"/>
          <w:lang w:val="uk-UA"/>
        </w:rPr>
        <w:t xml:space="preserve"> </w:t>
      </w:r>
      <w:r w:rsidRPr="00E16FAD">
        <w:rPr>
          <w:color w:val="auto"/>
          <w:sz w:val="28"/>
          <w:szCs w:val="28"/>
        </w:rPr>
        <w:t>Pharma</w:t>
      </w:r>
      <w:r w:rsidRPr="00E16FAD">
        <w:rPr>
          <w:color w:val="auto"/>
          <w:sz w:val="28"/>
          <w:szCs w:val="28"/>
          <w:lang w:val="uk-UA"/>
        </w:rPr>
        <w:t xml:space="preserve">», </w:t>
      </w:r>
    </w:p>
    <w:p w14:paraId="0C5B4EB2" w14:textId="77777777" w:rsidR="008031B2" w:rsidRPr="00E16FAD" w:rsidRDefault="008031B2" w:rsidP="00295D0C">
      <w:pPr>
        <w:pStyle w:val="Default"/>
        <w:jc w:val="both"/>
        <w:rPr>
          <w:color w:val="auto"/>
          <w:sz w:val="28"/>
          <w:szCs w:val="28"/>
        </w:rPr>
      </w:pPr>
      <w:r w:rsidRPr="00E16FAD">
        <w:rPr>
          <w:color w:val="auto"/>
          <w:sz w:val="28"/>
          <w:szCs w:val="28"/>
          <w:lang w:val="uk-UA"/>
        </w:rPr>
        <w:t xml:space="preserve">050010, г. Алматы, пр. </w:t>
      </w:r>
      <w:r w:rsidRPr="00E16FAD">
        <w:rPr>
          <w:color w:val="auto"/>
          <w:sz w:val="28"/>
          <w:szCs w:val="28"/>
        </w:rPr>
        <w:t>Достык, 38, оф. № 705, Бизнес-центр KDC</w:t>
      </w:r>
    </w:p>
    <w:p w14:paraId="25E6C6C7" w14:textId="77777777" w:rsidR="008031B2" w:rsidRPr="00E16FAD" w:rsidRDefault="008031B2" w:rsidP="00295D0C">
      <w:pPr>
        <w:pStyle w:val="Default"/>
        <w:jc w:val="both"/>
        <w:rPr>
          <w:color w:val="auto"/>
          <w:sz w:val="28"/>
          <w:szCs w:val="28"/>
        </w:rPr>
      </w:pPr>
      <w:r w:rsidRPr="00E16FAD">
        <w:rPr>
          <w:color w:val="auto"/>
          <w:sz w:val="28"/>
          <w:szCs w:val="28"/>
          <w:lang w:val="kk-KZ"/>
        </w:rPr>
        <w:t>Тел</w:t>
      </w:r>
      <w:r w:rsidRPr="00E16FAD">
        <w:rPr>
          <w:color w:val="auto"/>
          <w:sz w:val="28"/>
          <w:szCs w:val="28"/>
        </w:rPr>
        <w:t>.: +7 (727) 345 10 12</w:t>
      </w:r>
    </w:p>
    <w:p w14:paraId="2164780B" w14:textId="77777777" w:rsidR="008031B2" w:rsidRPr="00E16FAD" w:rsidRDefault="008031B2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FAD">
        <w:rPr>
          <w:rFonts w:ascii="Times New Roman" w:hAnsi="Times New Roman"/>
          <w:sz w:val="28"/>
          <w:szCs w:val="28"/>
        </w:rPr>
        <w:t xml:space="preserve">Электронная почта: </w:t>
      </w:r>
      <w:hyperlink r:id="rId12" w:history="1">
        <w:r w:rsidRPr="00E16FAD">
          <w:rPr>
            <w:rStyle w:val="af"/>
            <w:rFonts w:ascii="Times New Roman" w:hAnsi="Times New Roman"/>
            <w:sz w:val="28"/>
            <w:szCs w:val="28"/>
          </w:rPr>
          <w:t>info@saapharma.kz</w:t>
        </w:r>
      </w:hyperlink>
    </w:p>
    <w:p w14:paraId="3F511050" w14:textId="77777777" w:rsidR="00041028" w:rsidRPr="00E16FAD" w:rsidRDefault="00041028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EBA6D4" w14:textId="77777777" w:rsidR="00041028" w:rsidRPr="00E16FAD" w:rsidRDefault="00041028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6BDDB9" w14:textId="77777777" w:rsidR="00041028" w:rsidRPr="00E16FAD" w:rsidRDefault="00041028" w:rsidP="00295D0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FD1FDE" w14:textId="77777777" w:rsidR="00EC2049" w:rsidRPr="00E16FAD" w:rsidRDefault="00EC2049" w:rsidP="008741C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C2049" w:rsidRPr="00E16FAD" w:rsidSect="00F97B57">
      <w:head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97ED2C" w14:textId="77777777" w:rsidR="00F26076" w:rsidRDefault="00F26076" w:rsidP="00D275FC">
      <w:pPr>
        <w:spacing w:after="0" w:line="240" w:lineRule="auto"/>
      </w:pPr>
      <w:r>
        <w:separator/>
      </w:r>
    </w:p>
  </w:endnote>
  <w:endnote w:type="continuationSeparator" w:id="0">
    <w:p w14:paraId="2D0ECE55" w14:textId="77777777" w:rsidR="00F26076" w:rsidRDefault="00F26076" w:rsidP="00D2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34F6A" w14:textId="77777777" w:rsidR="00F26076" w:rsidRDefault="00F26076" w:rsidP="00D275FC">
      <w:pPr>
        <w:spacing w:after="0" w:line="240" w:lineRule="auto"/>
      </w:pPr>
      <w:r>
        <w:separator/>
      </w:r>
    </w:p>
  </w:footnote>
  <w:footnote w:type="continuationSeparator" w:id="0">
    <w:p w14:paraId="08ACD436" w14:textId="77777777" w:rsidR="00F26076" w:rsidRDefault="00F26076" w:rsidP="00D2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0AE0B" w14:textId="77777777" w:rsidR="005E108E" w:rsidRDefault="004751A3">
    <w:pPr>
      <w:pStyle w:val="af1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EE7ED7" wp14:editId="7384D0E6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374205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4EFCBE" w14:textId="77777777" w:rsidR="005E108E" w:rsidRPr="00D275FC" w:rsidRDefault="005E108E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EE7ED7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75pt;width:30pt;height:29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" filled="f" stroked="f" strokeweight=".5pt">
              <v:path arrowok="t"/>
              <v:textbox style="layout-flow:vertical;mso-layout-flow-alt:bottom-to-top">
                <w:txbxContent>
                  <w:p w14:paraId="494EFCBE" w14:textId="77777777" w:rsidR="005E108E" w:rsidRPr="00D275FC" w:rsidRDefault="005E108E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A7"/>
    <w:multiLevelType w:val="hybridMultilevel"/>
    <w:tmpl w:val="A814A514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85757"/>
    <w:multiLevelType w:val="hybridMultilevel"/>
    <w:tmpl w:val="BB369E14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3C54"/>
    <w:multiLevelType w:val="hybridMultilevel"/>
    <w:tmpl w:val="8FCC01C8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B70C4"/>
    <w:multiLevelType w:val="hybridMultilevel"/>
    <w:tmpl w:val="CC3EE24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0619"/>
    <w:multiLevelType w:val="hybridMultilevel"/>
    <w:tmpl w:val="2DE2BADE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07BE"/>
    <w:multiLevelType w:val="hybridMultilevel"/>
    <w:tmpl w:val="43FEBD16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876D1D"/>
    <w:multiLevelType w:val="hybridMultilevel"/>
    <w:tmpl w:val="63309D12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BA25B9"/>
    <w:multiLevelType w:val="hybridMultilevel"/>
    <w:tmpl w:val="A3E62F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55E55"/>
    <w:multiLevelType w:val="hybridMultilevel"/>
    <w:tmpl w:val="72E41BCA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C95314"/>
    <w:multiLevelType w:val="hybridMultilevel"/>
    <w:tmpl w:val="F3884292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1E72D8"/>
    <w:multiLevelType w:val="hybridMultilevel"/>
    <w:tmpl w:val="52B2D602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45ABD"/>
    <w:multiLevelType w:val="hybridMultilevel"/>
    <w:tmpl w:val="9A88FD54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023C6"/>
    <w:multiLevelType w:val="hybridMultilevel"/>
    <w:tmpl w:val="28048CD2"/>
    <w:lvl w:ilvl="0" w:tplc="D36081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416944"/>
    <w:multiLevelType w:val="hybridMultilevel"/>
    <w:tmpl w:val="0560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369D2"/>
    <w:multiLevelType w:val="hybridMultilevel"/>
    <w:tmpl w:val="BBF437D6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A1387"/>
    <w:multiLevelType w:val="hybridMultilevel"/>
    <w:tmpl w:val="8FF4F3BE"/>
    <w:lvl w:ilvl="0" w:tplc="702A5D80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E6380"/>
    <w:multiLevelType w:val="multilevel"/>
    <w:tmpl w:val="D968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27415F"/>
    <w:multiLevelType w:val="hybridMultilevel"/>
    <w:tmpl w:val="404027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718AC"/>
    <w:multiLevelType w:val="hybridMultilevel"/>
    <w:tmpl w:val="446EA49C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35000"/>
    <w:multiLevelType w:val="hybridMultilevel"/>
    <w:tmpl w:val="CB40CE2C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D31F24"/>
    <w:multiLevelType w:val="hybridMultilevel"/>
    <w:tmpl w:val="A6E05460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9F10E9"/>
    <w:multiLevelType w:val="hybridMultilevel"/>
    <w:tmpl w:val="BD7499D8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D0595"/>
    <w:multiLevelType w:val="hybridMultilevel"/>
    <w:tmpl w:val="C5FCDC3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37AD1"/>
    <w:multiLevelType w:val="hybridMultilevel"/>
    <w:tmpl w:val="DB4EBC54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C0942"/>
    <w:multiLevelType w:val="hybridMultilevel"/>
    <w:tmpl w:val="90DCECC0"/>
    <w:lvl w:ilvl="0" w:tplc="3BEE7F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84F52"/>
    <w:multiLevelType w:val="hybridMultilevel"/>
    <w:tmpl w:val="81BCA6F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FE08D7"/>
    <w:multiLevelType w:val="hybridMultilevel"/>
    <w:tmpl w:val="A620911A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C1104"/>
    <w:multiLevelType w:val="hybridMultilevel"/>
    <w:tmpl w:val="E99E0AAA"/>
    <w:lvl w:ilvl="0" w:tplc="3022E75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FC48D5"/>
    <w:multiLevelType w:val="hybridMultilevel"/>
    <w:tmpl w:val="C8F86B04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C74D5B"/>
    <w:multiLevelType w:val="hybridMultilevel"/>
    <w:tmpl w:val="D4F8B810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4827B71"/>
    <w:multiLevelType w:val="hybridMultilevel"/>
    <w:tmpl w:val="EE04941C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316B1"/>
    <w:multiLevelType w:val="hybridMultilevel"/>
    <w:tmpl w:val="627A7D26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2F7ADF"/>
    <w:multiLevelType w:val="hybridMultilevel"/>
    <w:tmpl w:val="A4D06184"/>
    <w:lvl w:ilvl="0" w:tplc="B378A9E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955935"/>
    <w:multiLevelType w:val="hybridMultilevel"/>
    <w:tmpl w:val="3FC0F3F4"/>
    <w:lvl w:ilvl="0" w:tplc="30BAA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BF1B9F"/>
    <w:multiLevelType w:val="hybridMultilevel"/>
    <w:tmpl w:val="B050A448"/>
    <w:lvl w:ilvl="0" w:tplc="982E96AC">
      <w:numFmt w:val="bullet"/>
      <w:lvlText w:val="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</w:num>
  <w:num w:numId="4">
    <w:abstractNumId w:val="25"/>
  </w:num>
  <w:num w:numId="5">
    <w:abstractNumId w:val="34"/>
  </w:num>
  <w:num w:numId="6">
    <w:abstractNumId w:val="8"/>
  </w:num>
  <w:num w:numId="7">
    <w:abstractNumId w:val="30"/>
  </w:num>
  <w:num w:numId="8">
    <w:abstractNumId w:val="10"/>
  </w:num>
  <w:num w:numId="9">
    <w:abstractNumId w:val="22"/>
  </w:num>
  <w:num w:numId="10">
    <w:abstractNumId w:val="11"/>
  </w:num>
  <w:num w:numId="11">
    <w:abstractNumId w:val="21"/>
  </w:num>
  <w:num w:numId="12">
    <w:abstractNumId w:val="24"/>
  </w:num>
  <w:num w:numId="13">
    <w:abstractNumId w:val="27"/>
  </w:num>
  <w:num w:numId="14">
    <w:abstractNumId w:val="17"/>
  </w:num>
  <w:num w:numId="15">
    <w:abstractNumId w:val="2"/>
  </w:num>
  <w:num w:numId="16">
    <w:abstractNumId w:val="32"/>
  </w:num>
  <w:num w:numId="17">
    <w:abstractNumId w:val="20"/>
  </w:num>
  <w:num w:numId="18">
    <w:abstractNumId w:val="19"/>
  </w:num>
  <w:num w:numId="19">
    <w:abstractNumId w:val="9"/>
  </w:num>
  <w:num w:numId="20">
    <w:abstractNumId w:val="3"/>
  </w:num>
  <w:num w:numId="21">
    <w:abstractNumId w:val="14"/>
  </w:num>
  <w:num w:numId="22">
    <w:abstractNumId w:val="7"/>
  </w:num>
  <w:num w:numId="23">
    <w:abstractNumId w:val="29"/>
  </w:num>
  <w:num w:numId="24">
    <w:abstractNumId w:val="15"/>
  </w:num>
  <w:num w:numId="25">
    <w:abstractNumId w:val="13"/>
  </w:num>
  <w:num w:numId="26">
    <w:abstractNumId w:val="18"/>
  </w:num>
  <w:num w:numId="27">
    <w:abstractNumId w:val="12"/>
  </w:num>
  <w:num w:numId="28">
    <w:abstractNumId w:val="33"/>
  </w:num>
  <w:num w:numId="29">
    <w:abstractNumId w:val="31"/>
  </w:num>
  <w:num w:numId="30">
    <w:abstractNumId w:val="1"/>
  </w:num>
  <w:num w:numId="31">
    <w:abstractNumId w:val="26"/>
  </w:num>
  <w:num w:numId="32">
    <w:abstractNumId w:val="28"/>
  </w:num>
  <w:num w:numId="33">
    <w:abstractNumId w:val="0"/>
  </w:num>
  <w:num w:numId="34">
    <w:abstractNumId w:val="16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48"/>
    <w:rsid w:val="00010371"/>
    <w:rsid w:val="000264BB"/>
    <w:rsid w:val="00033FC1"/>
    <w:rsid w:val="00034159"/>
    <w:rsid w:val="00041028"/>
    <w:rsid w:val="00042999"/>
    <w:rsid w:val="00067C97"/>
    <w:rsid w:val="000852A1"/>
    <w:rsid w:val="00085B76"/>
    <w:rsid w:val="000972E6"/>
    <w:rsid w:val="000A0D71"/>
    <w:rsid w:val="000C0256"/>
    <w:rsid w:val="000C2C4B"/>
    <w:rsid w:val="000C4C48"/>
    <w:rsid w:val="000D2F22"/>
    <w:rsid w:val="000E01AB"/>
    <w:rsid w:val="000E2683"/>
    <w:rsid w:val="000E4292"/>
    <w:rsid w:val="000E49F0"/>
    <w:rsid w:val="000E6126"/>
    <w:rsid w:val="000E6B60"/>
    <w:rsid w:val="000F0EE2"/>
    <w:rsid w:val="00100406"/>
    <w:rsid w:val="00107A8A"/>
    <w:rsid w:val="00111788"/>
    <w:rsid w:val="001141DC"/>
    <w:rsid w:val="00132B9A"/>
    <w:rsid w:val="001368AE"/>
    <w:rsid w:val="00144CCD"/>
    <w:rsid w:val="00144ED0"/>
    <w:rsid w:val="00145AD2"/>
    <w:rsid w:val="00146D68"/>
    <w:rsid w:val="0014739A"/>
    <w:rsid w:val="0015490C"/>
    <w:rsid w:val="001573E2"/>
    <w:rsid w:val="0016278D"/>
    <w:rsid w:val="00167255"/>
    <w:rsid w:val="001937AD"/>
    <w:rsid w:val="00194F09"/>
    <w:rsid w:val="001A2CB2"/>
    <w:rsid w:val="001A5CCF"/>
    <w:rsid w:val="001B6AEC"/>
    <w:rsid w:val="001D59B7"/>
    <w:rsid w:val="001E6F4C"/>
    <w:rsid w:val="001F16AA"/>
    <w:rsid w:val="00203355"/>
    <w:rsid w:val="00211005"/>
    <w:rsid w:val="00217D41"/>
    <w:rsid w:val="00222CA6"/>
    <w:rsid w:val="00232642"/>
    <w:rsid w:val="00237697"/>
    <w:rsid w:val="00250EDB"/>
    <w:rsid w:val="00256E10"/>
    <w:rsid w:val="00260413"/>
    <w:rsid w:val="00260EBC"/>
    <w:rsid w:val="00264710"/>
    <w:rsid w:val="00267567"/>
    <w:rsid w:val="00270B0A"/>
    <w:rsid w:val="00281FBE"/>
    <w:rsid w:val="0029002A"/>
    <w:rsid w:val="00290D2E"/>
    <w:rsid w:val="00292715"/>
    <w:rsid w:val="00295D0C"/>
    <w:rsid w:val="002A591C"/>
    <w:rsid w:val="002B3270"/>
    <w:rsid w:val="002C10E1"/>
    <w:rsid w:val="002C15EB"/>
    <w:rsid w:val="002C1660"/>
    <w:rsid w:val="002C35A2"/>
    <w:rsid w:val="002C5345"/>
    <w:rsid w:val="002C76D7"/>
    <w:rsid w:val="002D56B7"/>
    <w:rsid w:val="002E0BAD"/>
    <w:rsid w:val="002F27A0"/>
    <w:rsid w:val="002F4A14"/>
    <w:rsid w:val="00302607"/>
    <w:rsid w:val="003043BF"/>
    <w:rsid w:val="00311071"/>
    <w:rsid w:val="00320073"/>
    <w:rsid w:val="003262DF"/>
    <w:rsid w:val="003356B2"/>
    <w:rsid w:val="0036288F"/>
    <w:rsid w:val="00365B10"/>
    <w:rsid w:val="003662F1"/>
    <w:rsid w:val="00367BA7"/>
    <w:rsid w:val="003761C0"/>
    <w:rsid w:val="00377A4E"/>
    <w:rsid w:val="003812B2"/>
    <w:rsid w:val="00383CDB"/>
    <w:rsid w:val="00384F08"/>
    <w:rsid w:val="003879F9"/>
    <w:rsid w:val="00387FE7"/>
    <w:rsid w:val="00392475"/>
    <w:rsid w:val="003A035E"/>
    <w:rsid w:val="003B0285"/>
    <w:rsid w:val="003E13CF"/>
    <w:rsid w:val="003F5344"/>
    <w:rsid w:val="003F7EDC"/>
    <w:rsid w:val="00404548"/>
    <w:rsid w:val="0041162E"/>
    <w:rsid w:val="0042786D"/>
    <w:rsid w:val="00430612"/>
    <w:rsid w:val="00433C62"/>
    <w:rsid w:val="00434D01"/>
    <w:rsid w:val="004428B6"/>
    <w:rsid w:val="00472EF5"/>
    <w:rsid w:val="004751A3"/>
    <w:rsid w:val="0048687C"/>
    <w:rsid w:val="0049635D"/>
    <w:rsid w:val="004A31B4"/>
    <w:rsid w:val="004C1922"/>
    <w:rsid w:val="004C462F"/>
    <w:rsid w:val="004D49E9"/>
    <w:rsid w:val="004D6D6D"/>
    <w:rsid w:val="004E46C1"/>
    <w:rsid w:val="005071DA"/>
    <w:rsid w:val="00512C02"/>
    <w:rsid w:val="00523D82"/>
    <w:rsid w:val="00540B91"/>
    <w:rsid w:val="00541A00"/>
    <w:rsid w:val="005444B2"/>
    <w:rsid w:val="00552F8B"/>
    <w:rsid w:val="00561FE7"/>
    <w:rsid w:val="00575348"/>
    <w:rsid w:val="005779DE"/>
    <w:rsid w:val="005869C5"/>
    <w:rsid w:val="005A3C81"/>
    <w:rsid w:val="005A5680"/>
    <w:rsid w:val="005A6639"/>
    <w:rsid w:val="005A6914"/>
    <w:rsid w:val="005B3FFE"/>
    <w:rsid w:val="005C0830"/>
    <w:rsid w:val="005C1519"/>
    <w:rsid w:val="005C1C4E"/>
    <w:rsid w:val="005C4A16"/>
    <w:rsid w:val="005C4B12"/>
    <w:rsid w:val="005D68C6"/>
    <w:rsid w:val="005D7E76"/>
    <w:rsid w:val="005D7EE3"/>
    <w:rsid w:val="005E108E"/>
    <w:rsid w:val="005E50DE"/>
    <w:rsid w:val="005F4C46"/>
    <w:rsid w:val="005F7097"/>
    <w:rsid w:val="006020ED"/>
    <w:rsid w:val="0060364A"/>
    <w:rsid w:val="0061650D"/>
    <w:rsid w:val="00617843"/>
    <w:rsid w:val="00620F34"/>
    <w:rsid w:val="00624C1B"/>
    <w:rsid w:val="00625471"/>
    <w:rsid w:val="00627853"/>
    <w:rsid w:val="00634D0C"/>
    <w:rsid w:val="006432FA"/>
    <w:rsid w:val="00652BCE"/>
    <w:rsid w:val="00652E29"/>
    <w:rsid w:val="00653617"/>
    <w:rsid w:val="006703A5"/>
    <w:rsid w:val="0067136B"/>
    <w:rsid w:val="00691208"/>
    <w:rsid w:val="00693014"/>
    <w:rsid w:val="00697074"/>
    <w:rsid w:val="006A23C4"/>
    <w:rsid w:val="006A4500"/>
    <w:rsid w:val="006A702E"/>
    <w:rsid w:val="006B28F8"/>
    <w:rsid w:val="006B7A90"/>
    <w:rsid w:val="006C4503"/>
    <w:rsid w:val="006C577B"/>
    <w:rsid w:val="006C5F38"/>
    <w:rsid w:val="006C6558"/>
    <w:rsid w:val="006D7D5A"/>
    <w:rsid w:val="006E4305"/>
    <w:rsid w:val="006F5763"/>
    <w:rsid w:val="00704BAB"/>
    <w:rsid w:val="007104D1"/>
    <w:rsid w:val="007123A8"/>
    <w:rsid w:val="007135A6"/>
    <w:rsid w:val="007303E1"/>
    <w:rsid w:val="00732F32"/>
    <w:rsid w:val="00733A73"/>
    <w:rsid w:val="00736B6C"/>
    <w:rsid w:val="00745CFF"/>
    <w:rsid w:val="00746FF2"/>
    <w:rsid w:val="007567DF"/>
    <w:rsid w:val="00761133"/>
    <w:rsid w:val="00764E84"/>
    <w:rsid w:val="00766081"/>
    <w:rsid w:val="007762F8"/>
    <w:rsid w:val="00783520"/>
    <w:rsid w:val="007A02D3"/>
    <w:rsid w:val="007A18B1"/>
    <w:rsid w:val="007A7D2C"/>
    <w:rsid w:val="007B22E1"/>
    <w:rsid w:val="007C055A"/>
    <w:rsid w:val="007C1693"/>
    <w:rsid w:val="007D0E84"/>
    <w:rsid w:val="007D681B"/>
    <w:rsid w:val="007E1A7B"/>
    <w:rsid w:val="007E1D85"/>
    <w:rsid w:val="007E4721"/>
    <w:rsid w:val="007E5B48"/>
    <w:rsid w:val="007E702A"/>
    <w:rsid w:val="008031B2"/>
    <w:rsid w:val="00805ACC"/>
    <w:rsid w:val="0081154A"/>
    <w:rsid w:val="00816D90"/>
    <w:rsid w:val="00820280"/>
    <w:rsid w:val="00820B36"/>
    <w:rsid w:val="008250FA"/>
    <w:rsid w:val="0082725A"/>
    <w:rsid w:val="00827BB2"/>
    <w:rsid w:val="00831BA4"/>
    <w:rsid w:val="008329DA"/>
    <w:rsid w:val="008330E7"/>
    <w:rsid w:val="008353A4"/>
    <w:rsid w:val="008372C6"/>
    <w:rsid w:val="00844CE8"/>
    <w:rsid w:val="00847154"/>
    <w:rsid w:val="00847FB4"/>
    <w:rsid w:val="00853988"/>
    <w:rsid w:val="0086657B"/>
    <w:rsid w:val="008741CA"/>
    <w:rsid w:val="008817ED"/>
    <w:rsid w:val="008832E5"/>
    <w:rsid w:val="00891711"/>
    <w:rsid w:val="0089621F"/>
    <w:rsid w:val="00897669"/>
    <w:rsid w:val="008A06BA"/>
    <w:rsid w:val="008C0181"/>
    <w:rsid w:val="008C7244"/>
    <w:rsid w:val="008D4451"/>
    <w:rsid w:val="008D4569"/>
    <w:rsid w:val="008D4DE2"/>
    <w:rsid w:val="008D5B8C"/>
    <w:rsid w:val="008D62B7"/>
    <w:rsid w:val="008E0919"/>
    <w:rsid w:val="008E6895"/>
    <w:rsid w:val="00900B3C"/>
    <w:rsid w:val="00904FB5"/>
    <w:rsid w:val="0091136C"/>
    <w:rsid w:val="009157ED"/>
    <w:rsid w:val="00917C5F"/>
    <w:rsid w:val="00930D7D"/>
    <w:rsid w:val="00935208"/>
    <w:rsid w:val="00940902"/>
    <w:rsid w:val="0095047E"/>
    <w:rsid w:val="00956101"/>
    <w:rsid w:val="00957368"/>
    <w:rsid w:val="00962CD6"/>
    <w:rsid w:val="00965B2E"/>
    <w:rsid w:val="00993A60"/>
    <w:rsid w:val="00996F90"/>
    <w:rsid w:val="009B014E"/>
    <w:rsid w:val="009D71D5"/>
    <w:rsid w:val="009E2887"/>
    <w:rsid w:val="009E5CB9"/>
    <w:rsid w:val="009F31F2"/>
    <w:rsid w:val="009F45A5"/>
    <w:rsid w:val="00A01C2E"/>
    <w:rsid w:val="00A02BB2"/>
    <w:rsid w:val="00A04052"/>
    <w:rsid w:val="00A12563"/>
    <w:rsid w:val="00A74001"/>
    <w:rsid w:val="00A80D9C"/>
    <w:rsid w:val="00A8185B"/>
    <w:rsid w:val="00A92BDA"/>
    <w:rsid w:val="00A9352C"/>
    <w:rsid w:val="00AA13E0"/>
    <w:rsid w:val="00AA5E2F"/>
    <w:rsid w:val="00AA7317"/>
    <w:rsid w:val="00AC2C0B"/>
    <w:rsid w:val="00AC4905"/>
    <w:rsid w:val="00AE7922"/>
    <w:rsid w:val="00AF1BB8"/>
    <w:rsid w:val="00B00DD8"/>
    <w:rsid w:val="00B01011"/>
    <w:rsid w:val="00B029A8"/>
    <w:rsid w:val="00B11878"/>
    <w:rsid w:val="00B335F5"/>
    <w:rsid w:val="00B46F30"/>
    <w:rsid w:val="00B608C1"/>
    <w:rsid w:val="00B60D3D"/>
    <w:rsid w:val="00B61D95"/>
    <w:rsid w:val="00B75404"/>
    <w:rsid w:val="00B9187F"/>
    <w:rsid w:val="00BB3050"/>
    <w:rsid w:val="00BB7831"/>
    <w:rsid w:val="00BC06C1"/>
    <w:rsid w:val="00BC31BC"/>
    <w:rsid w:val="00BC6167"/>
    <w:rsid w:val="00BE4435"/>
    <w:rsid w:val="00BE6B71"/>
    <w:rsid w:val="00C07BB3"/>
    <w:rsid w:val="00C2000E"/>
    <w:rsid w:val="00C379C9"/>
    <w:rsid w:val="00C422B8"/>
    <w:rsid w:val="00C54C79"/>
    <w:rsid w:val="00C566D6"/>
    <w:rsid w:val="00C73CCA"/>
    <w:rsid w:val="00C839ED"/>
    <w:rsid w:val="00C83BC9"/>
    <w:rsid w:val="00C84299"/>
    <w:rsid w:val="00C9099E"/>
    <w:rsid w:val="00C92F14"/>
    <w:rsid w:val="00C9308C"/>
    <w:rsid w:val="00C97365"/>
    <w:rsid w:val="00CB42B0"/>
    <w:rsid w:val="00CC08BA"/>
    <w:rsid w:val="00CC330A"/>
    <w:rsid w:val="00CC3BE1"/>
    <w:rsid w:val="00CC5727"/>
    <w:rsid w:val="00CC7DBD"/>
    <w:rsid w:val="00CE38C0"/>
    <w:rsid w:val="00CF3849"/>
    <w:rsid w:val="00CF3D1C"/>
    <w:rsid w:val="00D0233C"/>
    <w:rsid w:val="00D04B60"/>
    <w:rsid w:val="00D066FC"/>
    <w:rsid w:val="00D11462"/>
    <w:rsid w:val="00D14D61"/>
    <w:rsid w:val="00D22A47"/>
    <w:rsid w:val="00D275FC"/>
    <w:rsid w:val="00D34C3B"/>
    <w:rsid w:val="00D3576E"/>
    <w:rsid w:val="00D43297"/>
    <w:rsid w:val="00D46B0B"/>
    <w:rsid w:val="00D54712"/>
    <w:rsid w:val="00D55ED8"/>
    <w:rsid w:val="00D70DB6"/>
    <w:rsid w:val="00D76048"/>
    <w:rsid w:val="00D8094C"/>
    <w:rsid w:val="00D83BC4"/>
    <w:rsid w:val="00D93481"/>
    <w:rsid w:val="00D93C80"/>
    <w:rsid w:val="00D96A8F"/>
    <w:rsid w:val="00DB406A"/>
    <w:rsid w:val="00DB7546"/>
    <w:rsid w:val="00DE2F3B"/>
    <w:rsid w:val="00DF11A7"/>
    <w:rsid w:val="00E03E8D"/>
    <w:rsid w:val="00E068A3"/>
    <w:rsid w:val="00E16FAD"/>
    <w:rsid w:val="00E271CB"/>
    <w:rsid w:val="00E27303"/>
    <w:rsid w:val="00E34FE3"/>
    <w:rsid w:val="00E55D6C"/>
    <w:rsid w:val="00E57396"/>
    <w:rsid w:val="00E61F77"/>
    <w:rsid w:val="00E81A1B"/>
    <w:rsid w:val="00E81A86"/>
    <w:rsid w:val="00E8607B"/>
    <w:rsid w:val="00E91073"/>
    <w:rsid w:val="00E93583"/>
    <w:rsid w:val="00EA2F86"/>
    <w:rsid w:val="00EA6D39"/>
    <w:rsid w:val="00EB0D8C"/>
    <w:rsid w:val="00EB1D97"/>
    <w:rsid w:val="00EB290C"/>
    <w:rsid w:val="00EC2049"/>
    <w:rsid w:val="00EF3050"/>
    <w:rsid w:val="00EF4C53"/>
    <w:rsid w:val="00F006F1"/>
    <w:rsid w:val="00F07B7B"/>
    <w:rsid w:val="00F23B95"/>
    <w:rsid w:val="00F24810"/>
    <w:rsid w:val="00F26076"/>
    <w:rsid w:val="00F40388"/>
    <w:rsid w:val="00F5462A"/>
    <w:rsid w:val="00F63389"/>
    <w:rsid w:val="00F8728C"/>
    <w:rsid w:val="00F8747E"/>
    <w:rsid w:val="00F91977"/>
    <w:rsid w:val="00F97B57"/>
    <w:rsid w:val="00FA4F7C"/>
    <w:rsid w:val="00FB0456"/>
    <w:rsid w:val="00FB47F4"/>
    <w:rsid w:val="00FD2B12"/>
    <w:rsid w:val="00FD2B9F"/>
    <w:rsid w:val="00FD62A9"/>
    <w:rsid w:val="00FE566D"/>
    <w:rsid w:val="00FE5989"/>
    <w:rsid w:val="00FF258E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2C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8031B2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068A3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068A3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4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254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36288F"/>
    <w:pPr>
      <w:keepNext/>
      <w:widowControl w:val="0"/>
      <w:autoSpaceDE w:val="0"/>
      <w:autoSpaceDN w:val="0"/>
      <w:adjustRightInd w:val="0"/>
      <w:spacing w:before="240" w:after="60" w:line="30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30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3628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вичайний1"/>
    <w:rsid w:val="0036288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/>
      <w:sz w:val="22"/>
    </w:rPr>
  </w:style>
  <w:style w:type="paragraph" w:styleId="a3">
    <w:name w:val="Normal (Web)"/>
    <w:basedOn w:val="a"/>
    <w:rsid w:val="00624C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lock Text"/>
    <w:basedOn w:val="a"/>
    <w:rsid w:val="002A591C"/>
    <w:pPr>
      <w:widowControl w:val="0"/>
      <w:autoSpaceDE w:val="0"/>
      <w:autoSpaceDN w:val="0"/>
      <w:adjustRightInd w:val="0"/>
      <w:spacing w:after="0" w:line="320" w:lineRule="auto"/>
      <w:ind w:left="5480" w:right="400"/>
      <w:jc w:val="center"/>
    </w:pPr>
    <w:rPr>
      <w:rFonts w:ascii="Times New Roman" w:eastAsia="Times New Roman" w:hAnsi="Times New Roman"/>
      <w:b/>
      <w:bCs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111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11788"/>
    <w:rPr>
      <w:rFonts w:ascii="Tahoma" w:hAnsi="Tahoma" w:cs="Tahoma"/>
      <w:sz w:val="16"/>
      <w:szCs w:val="16"/>
      <w:lang w:val="ru-RU"/>
    </w:rPr>
  </w:style>
  <w:style w:type="paragraph" w:styleId="a7">
    <w:name w:val="Body Text Indent"/>
    <w:basedOn w:val="a"/>
    <w:link w:val="a8"/>
    <w:rsid w:val="005A6914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5A691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Основний текст1"/>
    <w:basedOn w:val="a"/>
    <w:rsid w:val="00222CA6"/>
    <w:pPr>
      <w:widowControl w:val="0"/>
      <w:spacing w:after="0" w:line="336" w:lineRule="auto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styleId="a9">
    <w:name w:val="Body Text"/>
    <w:basedOn w:val="a"/>
    <w:link w:val="aa"/>
    <w:rsid w:val="00222CA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rsid w:val="00222CA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E81A1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625471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60">
    <w:name w:val="Заголовок 6 Знак"/>
    <w:link w:val="6"/>
    <w:uiPriority w:val="9"/>
    <w:semiHidden/>
    <w:rsid w:val="00CC330A"/>
    <w:rPr>
      <w:rFonts w:ascii="Cambria" w:eastAsia="Times New Roman" w:hAnsi="Cambria" w:cs="Times New Roman"/>
      <w:i/>
      <w:iCs/>
      <w:color w:val="243F60"/>
      <w:lang w:val="ru-RU"/>
    </w:rPr>
  </w:style>
  <w:style w:type="paragraph" w:customStyle="1" w:styleId="Heading6">
    <w:name w:val="Heading6"/>
    <w:basedOn w:val="a"/>
    <w:next w:val="a"/>
    <w:rsid w:val="0026756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color w:val="000000"/>
      <w:lang w:val="uk-UA" w:eastAsia="ru-RU"/>
    </w:rPr>
  </w:style>
  <w:style w:type="paragraph" w:styleId="ac">
    <w:name w:val="No Spacing"/>
    <w:uiPriority w:val="1"/>
    <w:qFormat/>
    <w:rsid w:val="00761133"/>
    <w:rPr>
      <w:sz w:val="22"/>
      <w:szCs w:val="22"/>
      <w:lang w:eastAsia="en-US"/>
    </w:rPr>
  </w:style>
  <w:style w:type="paragraph" w:styleId="31">
    <w:name w:val="Body Text Indent 3"/>
    <w:basedOn w:val="a"/>
    <w:link w:val="32"/>
    <w:rsid w:val="00761133"/>
    <w:pPr>
      <w:widowControl w:val="0"/>
      <w:autoSpaceDE w:val="0"/>
      <w:autoSpaceDN w:val="0"/>
      <w:adjustRightInd w:val="0"/>
      <w:spacing w:after="120" w:line="300" w:lineRule="auto"/>
      <w:ind w:left="283"/>
      <w:jc w:val="both"/>
    </w:pPr>
    <w:rPr>
      <w:rFonts w:ascii="Times New Roman" w:eastAsia="Times New Roman" w:hAnsi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link w:val="31"/>
    <w:rsid w:val="0076113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61133"/>
    <w:pPr>
      <w:widowControl w:val="0"/>
      <w:spacing w:line="360" w:lineRule="auto"/>
    </w:pPr>
    <w:rPr>
      <w:rFonts w:ascii="Arial" w:eastAsia="Times New Roman" w:hAnsi="Arial"/>
      <w:snapToGrid w:val="0"/>
      <w:sz w:val="24"/>
    </w:rPr>
  </w:style>
  <w:style w:type="paragraph" w:customStyle="1" w:styleId="Iauiue1">
    <w:name w:val="Iau?iue1"/>
    <w:rsid w:val="00761133"/>
    <w:rPr>
      <w:rFonts w:ascii="Times New Roman" w:eastAsia="Times New Roman" w:hAnsi="Times New Roman"/>
    </w:rPr>
  </w:style>
  <w:style w:type="paragraph" w:customStyle="1" w:styleId="2">
    <w:name w:val="Обычный2"/>
    <w:next w:val="a"/>
    <w:rsid w:val="002C10E1"/>
    <w:pPr>
      <w:widowControl w:val="0"/>
      <w:autoSpaceDE w:val="0"/>
      <w:autoSpaceDN w:val="0"/>
    </w:pPr>
    <w:rPr>
      <w:rFonts w:ascii="Times New Roman" w:eastAsia="Times New Roman" w:hAnsi="Times New Roman"/>
      <w:noProof/>
      <w:lang w:val="en-US"/>
    </w:rPr>
  </w:style>
  <w:style w:type="paragraph" w:styleId="ad">
    <w:name w:val="Subtitle"/>
    <w:basedOn w:val="a"/>
    <w:link w:val="ae"/>
    <w:qFormat/>
    <w:rsid w:val="00D46B0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customStyle="1" w:styleId="ae">
    <w:name w:val="Подзаголовок Знак"/>
    <w:link w:val="ad"/>
    <w:rsid w:val="00D46B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41162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shorttext">
    <w:name w:val="short_text"/>
    <w:rsid w:val="0041162E"/>
  </w:style>
  <w:style w:type="character" w:styleId="af">
    <w:name w:val="Hyperlink"/>
    <w:rsid w:val="00575348"/>
    <w:rPr>
      <w:color w:val="0000FF"/>
      <w:u w:val="single"/>
    </w:rPr>
  </w:style>
  <w:style w:type="paragraph" w:customStyle="1" w:styleId="msonormalmailrucssattributepostfix">
    <w:name w:val="msonormal_mailru_css_attribute_postfix"/>
    <w:basedOn w:val="a"/>
    <w:rsid w:val="005753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f0">
    <w:name w:val="Emphasis"/>
    <w:uiPriority w:val="20"/>
    <w:qFormat/>
    <w:rsid w:val="00575348"/>
    <w:rPr>
      <w:i/>
      <w:iCs/>
    </w:rPr>
  </w:style>
  <w:style w:type="paragraph" w:customStyle="1" w:styleId="20">
    <w:name w:val="Звичайний2"/>
    <w:rsid w:val="005A6639"/>
    <w:pPr>
      <w:widowControl w:val="0"/>
    </w:pPr>
    <w:rPr>
      <w:rFonts w:ascii="Times New Roman" w:eastAsia="Times New Roman" w:hAnsi="Times New Roman"/>
      <w:snapToGrid w:val="0"/>
    </w:rPr>
  </w:style>
  <w:style w:type="paragraph" w:styleId="af1">
    <w:name w:val="header"/>
    <w:basedOn w:val="a"/>
    <w:link w:val="af2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link w:val="af1"/>
    <w:uiPriority w:val="99"/>
    <w:rsid w:val="00D275FC"/>
    <w:rPr>
      <w:lang w:val="ru-RU"/>
    </w:rPr>
  </w:style>
  <w:style w:type="paragraph" w:styleId="af3">
    <w:name w:val="footer"/>
    <w:basedOn w:val="a"/>
    <w:link w:val="af4"/>
    <w:uiPriority w:val="99"/>
    <w:unhideWhenUsed/>
    <w:rsid w:val="00D27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link w:val="af3"/>
    <w:uiPriority w:val="99"/>
    <w:rsid w:val="00D275FC"/>
    <w:rPr>
      <w:lang w:val="ru-RU"/>
    </w:rPr>
  </w:style>
  <w:style w:type="paragraph" w:styleId="af5">
    <w:name w:val="Title"/>
    <w:basedOn w:val="a"/>
    <w:next w:val="a"/>
    <w:link w:val="af6"/>
    <w:uiPriority w:val="10"/>
    <w:qFormat/>
    <w:rsid w:val="00900B3C"/>
    <w:pPr>
      <w:pBdr>
        <w:bottom w:val="single" w:sz="8" w:space="4" w:color="4F81BD"/>
      </w:pBdr>
      <w:spacing w:after="300" w:line="240" w:lineRule="auto"/>
      <w:contextualSpacing/>
    </w:pPr>
    <w:rPr>
      <w:rFonts w:ascii="Consolas" w:eastAsia="Consolas" w:hAnsi="Consolas" w:cs="Consolas"/>
      <w:sz w:val="20"/>
      <w:szCs w:val="20"/>
      <w:lang w:eastAsia="ru-RU"/>
    </w:rPr>
  </w:style>
  <w:style w:type="character" w:customStyle="1" w:styleId="af6">
    <w:name w:val="Название Знак"/>
    <w:link w:val="af5"/>
    <w:uiPriority w:val="10"/>
    <w:rsid w:val="00900B3C"/>
    <w:rPr>
      <w:rFonts w:ascii="Consolas" w:eastAsia="Consolas" w:hAnsi="Consolas" w:cs="Consolas"/>
    </w:rPr>
  </w:style>
  <w:style w:type="character" w:styleId="af7">
    <w:name w:val="annotation reference"/>
    <w:uiPriority w:val="99"/>
    <w:rsid w:val="007D0E84"/>
    <w:rPr>
      <w:sz w:val="16"/>
      <w:szCs w:val="16"/>
    </w:rPr>
  </w:style>
  <w:style w:type="paragraph" w:styleId="af8">
    <w:name w:val="annotation text"/>
    <w:basedOn w:val="a"/>
    <w:link w:val="af9"/>
    <w:rsid w:val="007D0E84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val="en-GB" w:eastAsia="hu-HU" w:bidi="ml-IN"/>
    </w:rPr>
  </w:style>
  <w:style w:type="character" w:customStyle="1" w:styleId="af9">
    <w:name w:val="Текст примечания Знак"/>
    <w:link w:val="af8"/>
    <w:rsid w:val="007D0E84"/>
    <w:rPr>
      <w:rFonts w:ascii="Times New Roman" w:eastAsia="Times New Roman" w:hAnsi="Times New Roman" w:cs="Arial Unicode MS"/>
      <w:lang w:val="en-GB" w:eastAsia="hu-HU" w:bidi="ml-IN"/>
    </w:rPr>
  </w:style>
  <w:style w:type="paragraph" w:customStyle="1" w:styleId="Default">
    <w:name w:val="Default"/>
    <w:rsid w:val="000E01A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paragraph" w:customStyle="1" w:styleId="ConsPlusNormal">
    <w:name w:val="ConsPlusNormal"/>
    <w:rsid w:val="002C76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F8747E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F8747E"/>
    <w:rPr>
      <w:sz w:val="22"/>
      <w:szCs w:val="22"/>
      <w:lang w:eastAsia="en-US"/>
    </w:rPr>
  </w:style>
  <w:style w:type="character" w:customStyle="1" w:styleId="14">
    <w:name w:val="Неразрешенное упоминание1"/>
    <w:uiPriority w:val="99"/>
    <w:semiHidden/>
    <w:unhideWhenUsed/>
    <w:rsid w:val="008031B2"/>
    <w:rPr>
      <w:color w:val="605E5C"/>
      <w:shd w:val="clear" w:color="auto" w:fill="E1DFDD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E068A3"/>
    <w:pPr>
      <w:spacing w:after="200"/>
    </w:pPr>
    <w:rPr>
      <w:rFonts w:ascii="Calibri" w:eastAsia="Calibri" w:hAnsi="Calibri" w:cs="Times New Roman"/>
      <w:b/>
      <w:bCs/>
      <w:lang w:val="ru-RU" w:eastAsia="en-US" w:bidi="ar-SA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E068A3"/>
    <w:rPr>
      <w:rFonts w:ascii="Times New Roman" w:eastAsia="Times New Roman" w:hAnsi="Times New Roman" w:cs="Arial Unicode MS"/>
      <w:b/>
      <w:bCs/>
      <w:lang w:val="en-GB" w:eastAsia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aapharma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_query@accord-healthcare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onkokocs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701CB-2C5C-424D-9A79-A53C5764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5637</Words>
  <Characters>32132</Characters>
  <Application>Microsoft Office Word</Application>
  <DocSecurity>0</DocSecurity>
  <Lines>267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 Farmak</Company>
  <LinksUpToDate>false</LinksUpToDate>
  <CharactersWithSpaces>37694</CharactersWithSpaces>
  <SharedDoc>false</SharedDoc>
  <HLinks>
    <vt:vector size="24" baseType="variant">
      <vt:variant>
        <vt:i4>6553673</vt:i4>
      </vt:variant>
      <vt:variant>
        <vt:i4>9</vt:i4>
      </vt:variant>
      <vt:variant>
        <vt:i4>0</vt:i4>
      </vt:variant>
      <vt:variant>
        <vt:i4>5</vt:i4>
      </vt:variant>
      <vt:variant>
        <vt:lpwstr>mailto:info@saapharma.kz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mailto:ra_query@accord-healthcare.com</vt:lpwstr>
      </vt:variant>
      <vt:variant>
        <vt:lpwstr/>
      </vt:variant>
      <vt:variant>
        <vt:i4>5374051</vt:i4>
      </vt:variant>
      <vt:variant>
        <vt:i4>3</vt:i4>
      </vt:variant>
      <vt:variant>
        <vt:i4>0</vt:i4>
      </vt:variant>
      <vt:variant>
        <vt:i4>5</vt:i4>
      </vt:variant>
      <vt:variant>
        <vt:lpwstr>mailto:info@onkokocsel.com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Liliia O. Ovsiannikova</dc:creator>
  <cp:lastModifiedBy>Уайсова Дана Сагитбековна</cp:lastModifiedBy>
  <cp:revision>2</cp:revision>
  <cp:lastPrinted>2018-03-22T06:08:00Z</cp:lastPrinted>
  <dcterms:created xsi:type="dcterms:W3CDTF">2022-05-25T03:18:00Z</dcterms:created>
  <dcterms:modified xsi:type="dcterms:W3CDTF">2022-05-25T03:18:00Z</dcterms:modified>
</cp:coreProperties>
</file>